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33" w:rsidRDefault="001A7933" w:rsidP="001A7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33" w:rsidRPr="00490766" w:rsidRDefault="001A7933" w:rsidP="001A793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766">
        <w:rPr>
          <w:rFonts w:ascii="Times New Roman" w:hAnsi="Times New Roman" w:cs="Times New Roman"/>
          <w:b/>
          <w:sz w:val="32"/>
          <w:szCs w:val="32"/>
        </w:rPr>
        <w:t>АНАЛИТИЧЕСКИЙ  ОТЧЕТ</w:t>
      </w:r>
    </w:p>
    <w:p w:rsidR="001A7933" w:rsidRPr="00490766" w:rsidRDefault="00490766" w:rsidP="001A793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0766">
        <w:rPr>
          <w:rFonts w:ascii="Times New Roman" w:hAnsi="Times New Roman" w:cs="Times New Roman"/>
          <w:sz w:val="32"/>
          <w:szCs w:val="32"/>
        </w:rPr>
        <w:t>П</w:t>
      </w:r>
      <w:r w:rsidR="001A7933" w:rsidRPr="00490766">
        <w:rPr>
          <w:rFonts w:ascii="Times New Roman" w:hAnsi="Times New Roman" w:cs="Times New Roman"/>
          <w:sz w:val="32"/>
          <w:szCs w:val="32"/>
        </w:rPr>
        <w:t xml:space="preserve">О  </w:t>
      </w:r>
      <w:r w:rsidRPr="00490766">
        <w:rPr>
          <w:rFonts w:ascii="Times New Roman" w:hAnsi="Times New Roman" w:cs="Times New Roman"/>
          <w:sz w:val="32"/>
          <w:szCs w:val="32"/>
        </w:rPr>
        <w:t xml:space="preserve">РЕЗУЛЬТАТАМ АНЛИЗА </w:t>
      </w:r>
      <w:r w:rsidR="001A7933" w:rsidRPr="00490766">
        <w:rPr>
          <w:rFonts w:ascii="Times New Roman" w:hAnsi="Times New Roman" w:cs="Times New Roman"/>
          <w:sz w:val="32"/>
          <w:szCs w:val="32"/>
        </w:rPr>
        <w:t>СОСТОЯНИЯ  КОНКУРЕН</w:t>
      </w:r>
      <w:r w:rsidRPr="00490766">
        <w:rPr>
          <w:rFonts w:ascii="Times New Roman" w:hAnsi="Times New Roman" w:cs="Times New Roman"/>
          <w:sz w:val="32"/>
          <w:szCs w:val="32"/>
        </w:rPr>
        <w:t>ЦИИ</w:t>
      </w:r>
      <w:r w:rsidR="00126DA2" w:rsidRPr="00490766">
        <w:rPr>
          <w:rFonts w:ascii="Times New Roman" w:hAnsi="Times New Roman" w:cs="Times New Roman"/>
          <w:sz w:val="32"/>
          <w:szCs w:val="32"/>
        </w:rPr>
        <w:t xml:space="preserve"> </w:t>
      </w:r>
      <w:r w:rsidR="001A7933" w:rsidRPr="00490766">
        <w:rPr>
          <w:rFonts w:ascii="Times New Roman" w:hAnsi="Times New Roman" w:cs="Times New Roman"/>
          <w:sz w:val="32"/>
          <w:szCs w:val="32"/>
        </w:rPr>
        <w:t xml:space="preserve">НА  </w:t>
      </w:r>
      <w:r w:rsidR="00F728D4" w:rsidRPr="00490766">
        <w:rPr>
          <w:rFonts w:ascii="Times New Roman" w:hAnsi="Times New Roman" w:cs="Times New Roman"/>
          <w:sz w:val="32"/>
          <w:szCs w:val="32"/>
        </w:rPr>
        <w:t>РОЗНИЧНОМ</w:t>
      </w:r>
      <w:r w:rsidR="001A7933" w:rsidRPr="00490766">
        <w:rPr>
          <w:rFonts w:ascii="Times New Roman" w:hAnsi="Times New Roman" w:cs="Times New Roman"/>
          <w:sz w:val="32"/>
          <w:szCs w:val="32"/>
        </w:rPr>
        <w:t xml:space="preserve">  РЫНК</w:t>
      </w:r>
      <w:r w:rsidR="00F728D4" w:rsidRPr="00490766">
        <w:rPr>
          <w:rFonts w:ascii="Times New Roman" w:hAnsi="Times New Roman" w:cs="Times New Roman"/>
          <w:sz w:val="32"/>
          <w:szCs w:val="32"/>
        </w:rPr>
        <w:t>Е</w:t>
      </w:r>
      <w:r w:rsidR="001A7933" w:rsidRPr="00490766">
        <w:rPr>
          <w:rFonts w:ascii="Times New Roman" w:hAnsi="Times New Roman" w:cs="Times New Roman"/>
          <w:sz w:val="32"/>
          <w:szCs w:val="32"/>
        </w:rPr>
        <w:t xml:space="preserve"> ДИЗЕЛЬНОГО ТОПЛИВА ОРЛОВСКОЙ </w:t>
      </w:r>
      <w:r w:rsidR="00E343A2" w:rsidRPr="00490766">
        <w:rPr>
          <w:rFonts w:ascii="Times New Roman" w:hAnsi="Times New Roman" w:cs="Times New Roman"/>
          <w:sz w:val="32"/>
          <w:szCs w:val="32"/>
        </w:rPr>
        <w:t xml:space="preserve"> </w:t>
      </w:r>
      <w:r w:rsidR="001A7933" w:rsidRPr="00490766">
        <w:rPr>
          <w:rFonts w:ascii="Times New Roman" w:hAnsi="Times New Roman" w:cs="Times New Roman"/>
          <w:sz w:val="32"/>
          <w:szCs w:val="32"/>
        </w:rPr>
        <w:t>ОБЛАСТИ ЗА</w:t>
      </w:r>
      <w:r w:rsidR="00E343A2" w:rsidRPr="00490766">
        <w:rPr>
          <w:rFonts w:ascii="Times New Roman" w:hAnsi="Times New Roman" w:cs="Times New Roman"/>
          <w:sz w:val="32"/>
          <w:szCs w:val="32"/>
        </w:rPr>
        <w:t xml:space="preserve">  </w:t>
      </w:r>
      <w:r w:rsidRPr="00490766">
        <w:rPr>
          <w:rFonts w:ascii="Times New Roman" w:hAnsi="Times New Roman" w:cs="Times New Roman"/>
          <w:sz w:val="32"/>
          <w:szCs w:val="32"/>
        </w:rPr>
        <w:t>2016 ГОД</w:t>
      </w:r>
    </w:p>
    <w:p w:rsidR="001A7933" w:rsidRDefault="001A7933" w:rsidP="001A7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5F8" w:rsidRDefault="009A75F8" w:rsidP="006A784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5F8" w:rsidRDefault="009A75F8" w:rsidP="006A784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784B" w:rsidRDefault="006A784B" w:rsidP="00490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4E2">
        <w:rPr>
          <w:rFonts w:ascii="Times New Roman" w:hAnsi="Times New Roman" w:cs="Times New Roman"/>
          <w:sz w:val="28"/>
          <w:szCs w:val="28"/>
        </w:rPr>
        <w:t>Содержание</w:t>
      </w:r>
    </w:p>
    <w:p w:rsidR="006A784B" w:rsidRDefault="006A784B" w:rsidP="006A78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84B" w:rsidRDefault="006A784B" w:rsidP="006A7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784B" w:rsidRPr="00BE24E2" w:rsidRDefault="006A784B" w:rsidP="00490766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4E2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784B" w:rsidRPr="00BE24E2" w:rsidRDefault="006A784B" w:rsidP="00490766">
      <w:pPr>
        <w:pStyle w:val="a3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4E2">
        <w:rPr>
          <w:rFonts w:ascii="Times New Roman" w:hAnsi="Times New Roman" w:cs="Times New Roman"/>
          <w:sz w:val="28"/>
          <w:szCs w:val="28"/>
        </w:rPr>
        <w:t>Основание и цель исследования</w:t>
      </w:r>
      <w:r w:rsidRPr="00BE24E2">
        <w:rPr>
          <w:rFonts w:ascii="Times New Roman" w:hAnsi="Times New Roman" w:cs="Times New Roman"/>
          <w:sz w:val="28"/>
          <w:szCs w:val="28"/>
        </w:rPr>
        <w:tab/>
      </w:r>
      <w:r w:rsidRPr="00BE24E2">
        <w:rPr>
          <w:rFonts w:ascii="Times New Roman" w:hAnsi="Times New Roman" w:cs="Times New Roman"/>
          <w:sz w:val="28"/>
          <w:szCs w:val="28"/>
        </w:rPr>
        <w:tab/>
      </w:r>
      <w:r w:rsidRPr="00BE24E2">
        <w:rPr>
          <w:rFonts w:ascii="Times New Roman" w:hAnsi="Times New Roman" w:cs="Times New Roman"/>
          <w:sz w:val="28"/>
          <w:szCs w:val="28"/>
        </w:rPr>
        <w:tab/>
      </w:r>
      <w:r w:rsidRPr="00BE24E2">
        <w:rPr>
          <w:rFonts w:ascii="Times New Roman" w:hAnsi="Times New Roman" w:cs="Times New Roman"/>
          <w:sz w:val="28"/>
          <w:szCs w:val="28"/>
        </w:rPr>
        <w:tab/>
      </w:r>
      <w:r w:rsidRPr="00BE24E2">
        <w:rPr>
          <w:rFonts w:ascii="Times New Roman" w:hAnsi="Times New Roman" w:cs="Times New Roman"/>
          <w:sz w:val="28"/>
          <w:szCs w:val="28"/>
        </w:rPr>
        <w:tab/>
      </w:r>
    </w:p>
    <w:p w:rsidR="006A784B" w:rsidRPr="00BE24E2" w:rsidRDefault="006A784B" w:rsidP="00490766">
      <w:pPr>
        <w:pStyle w:val="a3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4E2">
        <w:rPr>
          <w:rFonts w:ascii="Times New Roman" w:hAnsi="Times New Roman" w:cs="Times New Roman"/>
          <w:sz w:val="28"/>
          <w:szCs w:val="28"/>
        </w:rPr>
        <w:t>Источники исходной информации</w:t>
      </w:r>
      <w:r w:rsidRPr="00BE24E2">
        <w:rPr>
          <w:rFonts w:ascii="Times New Roman" w:hAnsi="Times New Roman" w:cs="Times New Roman"/>
          <w:sz w:val="28"/>
          <w:szCs w:val="28"/>
        </w:rPr>
        <w:tab/>
      </w:r>
      <w:r w:rsidRPr="00BE24E2">
        <w:rPr>
          <w:rFonts w:ascii="Times New Roman" w:hAnsi="Times New Roman" w:cs="Times New Roman"/>
          <w:sz w:val="28"/>
          <w:szCs w:val="28"/>
        </w:rPr>
        <w:tab/>
      </w:r>
      <w:r w:rsidRPr="00BE24E2">
        <w:rPr>
          <w:rFonts w:ascii="Times New Roman" w:hAnsi="Times New Roman" w:cs="Times New Roman"/>
          <w:sz w:val="28"/>
          <w:szCs w:val="28"/>
        </w:rPr>
        <w:tab/>
      </w:r>
      <w:r w:rsidRPr="00BE24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784B" w:rsidRDefault="006A784B" w:rsidP="00490766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4E2">
        <w:rPr>
          <w:rFonts w:ascii="Times New Roman" w:hAnsi="Times New Roman" w:cs="Times New Roman"/>
          <w:sz w:val="28"/>
          <w:szCs w:val="28"/>
        </w:rPr>
        <w:t>Временной интервал исследования товарного рынка</w:t>
      </w:r>
      <w:r w:rsidRPr="00BE24E2">
        <w:rPr>
          <w:rFonts w:ascii="Times New Roman" w:hAnsi="Times New Roman" w:cs="Times New Roman"/>
          <w:sz w:val="28"/>
          <w:szCs w:val="28"/>
        </w:rPr>
        <w:tab/>
      </w:r>
      <w:r w:rsidRPr="00BE24E2">
        <w:rPr>
          <w:rFonts w:ascii="Times New Roman" w:hAnsi="Times New Roman" w:cs="Times New Roman"/>
          <w:sz w:val="28"/>
          <w:szCs w:val="28"/>
        </w:rPr>
        <w:tab/>
      </w:r>
      <w:r w:rsidR="00503676">
        <w:rPr>
          <w:rFonts w:ascii="Times New Roman" w:hAnsi="Times New Roman" w:cs="Times New Roman"/>
          <w:sz w:val="28"/>
          <w:szCs w:val="28"/>
        </w:rPr>
        <w:tab/>
      </w:r>
    </w:p>
    <w:p w:rsidR="006A784B" w:rsidRDefault="006A784B" w:rsidP="00490766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Продуктовые границы рынка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784B" w:rsidRDefault="006A784B" w:rsidP="00490766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границы рынка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784B" w:rsidRPr="00490766" w:rsidRDefault="006A784B" w:rsidP="00490766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766">
        <w:rPr>
          <w:rFonts w:ascii="Times New Roman" w:hAnsi="Times New Roman" w:cs="Times New Roman"/>
          <w:sz w:val="28"/>
          <w:szCs w:val="28"/>
        </w:rPr>
        <w:t>Состав хозяйствующих субъектов, действующих на</w:t>
      </w:r>
      <w:r w:rsidR="00490766" w:rsidRPr="00490766">
        <w:rPr>
          <w:rFonts w:ascii="Times New Roman" w:hAnsi="Times New Roman" w:cs="Times New Roman"/>
          <w:sz w:val="28"/>
          <w:szCs w:val="28"/>
        </w:rPr>
        <w:t xml:space="preserve"> </w:t>
      </w:r>
      <w:r w:rsidRPr="00490766">
        <w:rPr>
          <w:rFonts w:ascii="Times New Roman" w:hAnsi="Times New Roman" w:cs="Times New Roman"/>
          <w:sz w:val="28"/>
          <w:szCs w:val="28"/>
        </w:rPr>
        <w:t>товарном рынке</w:t>
      </w:r>
      <w:r w:rsidRPr="00490766">
        <w:rPr>
          <w:rFonts w:ascii="Times New Roman" w:hAnsi="Times New Roman" w:cs="Times New Roman"/>
          <w:sz w:val="28"/>
          <w:szCs w:val="28"/>
        </w:rPr>
        <w:tab/>
      </w:r>
    </w:p>
    <w:p w:rsidR="006A784B" w:rsidRPr="00490766" w:rsidRDefault="00E06D44" w:rsidP="00490766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766">
        <w:rPr>
          <w:rFonts w:ascii="Times New Roman" w:hAnsi="Times New Roman" w:cs="Times New Roman"/>
          <w:sz w:val="28"/>
          <w:szCs w:val="28"/>
        </w:rPr>
        <w:t>О</w:t>
      </w:r>
      <w:r w:rsidR="006A784B" w:rsidRPr="00490766">
        <w:rPr>
          <w:rFonts w:ascii="Times New Roman" w:hAnsi="Times New Roman" w:cs="Times New Roman"/>
          <w:sz w:val="28"/>
          <w:szCs w:val="28"/>
        </w:rPr>
        <w:t>бъем товарного рынка и доли хозяйствующих субъектов на рынке</w:t>
      </w:r>
      <w:r w:rsidR="006A784B" w:rsidRPr="00490766">
        <w:rPr>
          <w:rFonts w:ascii="Times New Roman" w:hAnsi="Times New Roman" w:cs="Times New Roman"/>
          <w:sz w:val="28"/>
          <w:szCs w:val="28"/>
        </w:rPr>
        <w:tab/>
      </w:r>
    </w:p>
    <w:p w:rsidR="006A784B" w:rsidRDefault="006A784B" w:rsidP="00490766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концентрации товарного рынка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784B" w:rsidRDefault="006A784B" w:rsidP="00490766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Барьеры входа на товарный рынок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784B" w:rsidRDefault="006A784B" w:rsidP="00490766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ко</w:t>
      </w:r>
      <w:r w:rsidR="00503676">
        <w:rPr>
          <w:rFonts w:ascii="Times New Roman" w:hAnsi="Times New Roman" w:cs="Times New Roman"/>
          <w:sz w:val="28"/>
          <w:szCs w:val="28"/>
        </w:rPr>
        <w:t>нкуренции на товарном рынке</w:t>
      </w:r>
      <w:r w:rsidR="00503676">
        <w:rPr>
          <w:rFonts w:ascii="Times New Roman" w:hAnsi="Times New Roman" w:cs="Times New Roman"/>
          <w:sz w:val="28"/>
          <w:szCs w:val="28"/>
        </w:rPr>
        <w:tab/>
      </w:r>
      <w:r w:rsidR="00503676">
        <w:rPr>
          <w:rFonts w:ascii="Times New Roman" w:hAnsi="Times New Roman" w:cs="Times New Roman"/>
          <w:sz w:val="28"/>
          <w:szCs w:val="28"/>
        </w:rPr>
        <w:tab/>
      </w:r>
      <w:r w:rsidR="00503676">
        <w:rPr>
          <w:rFonts w:ascii="Times New Roman" w:hAnsi="Times New Roman" w:cs="Times New Roman"/>
          <w:sz w:val="28"/>
          <w:szCs w:val="28"/>
        </w:rPr>
        <w:tab/>
      </w:r>
    </w:p>
    <w:p w:rsidR="00E06D44" w:rsidRPr="00490766" w:rsidRDefault="009B0CF3" w:rsidP="0049076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0766">
        <w:rPr>
          <w:rFonts w:ascii="Times New Roman" w:hAnsi="Times New Roman" w:cs="Times New Roman"/>
          <w:sz w:val="28"/>
          <w:szCs w:val="28"/>
        </w:rPr>
        <w:tab/>
      </w:r>
      <w:r w:rsidRPr="00490766">
        <w:rPr>
          <w:rFonts w:ascii="Times New Roman" w:hAnsi="Times New Roman" w:cs="Times New Roman"/>
          <w:sz w:val="28"/>
          <w:szCs w:val="28"/>
        </w:rPr>
        <w:tab/>
      </w:r>
      <w:r w:rsidRPr="00490766">
        <w:rPr>
          <w:rFonts w:ascii="Times New Roman" w:hAnsi="Times New Roman" w:cs="Times New Roman"/>
          <w:sz w:val="28"/>
          <w:szCs w:val="28"/>
        </w:rPr>
        <w:tab/>
      </w:r>
      <w:r w:rsidRPr="00490766">
        <w:rPr>
          <w:rFonts w:ascii="Times New Roman" w:hAnsi="Times New Roman" w:cs="Times New Roman"/>
          <w:sz w:val="28"/>
          <w:szCs w:val="28"/>
        </w:rPr>
        <w:tab/>
      </w:r>
      <w:r w:rsidRPr="00490766">
        <w:rPr>
          <w:rFonts w:ascii="Times New Roman" w:hAnsi="Times New Roman" w:cs="Times New Roman"/>
          <w:sz w:val="28"/>
          <w:szCs w:val="28"/>
        </w:rPr>
        <w:tab/>
      </w:r>
      <w:r w:rsidRPr="00490766">
        <w:rPr>
          <w:rFonts w:ascii="Times New Roman" w:hAnsi="Times New Roman" w:cs="Times New Roman"/>
          <w:sz w:val="28"/>
          <w:szCs w:val="28"/>
        </w:rPr>
        <w:tab/>
      </w:r>
      <w:r w:rsidRPr="00490766">
        <w:rPr>
          <w:rFonts w:ascii="Times New Roman" w:hAnsi="Times New Roman" w:cs="Times New Roman"/>
          <w:sz w:val="28"/>
          <w:szCs w:val="28"/>
        </w:rPr>
        <w:tab/>
      </w:r>
      <w:r w:rsidRPr="00490766">
        <w:rPr>
          <w:rFonts w:ascii="Times New Roman" w:hAnsi="Times New Roman" w:cs="Times New Roman"/>
          <w:sz w:val="28"/>
          <w:szCs w:val="28"/>
        </w:rPr>
        <w:tab/>
      </w:r>
    </w:p>
    <w:p w:rsidR="006A784B" w:rsidRDefault="006A784B" w:rsidP="00EE5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76" w:rsidRDefault="00503676" w:rsidP="00EE5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76" w:rsidRDefault="00503676" w:rsidP="00EE5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76" w:rsidRDefault="00503676" w:rsidP="00EE5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76" w:rsidRDefault="00503676" w:rsidP="00EE5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76" w:rsidRDefault="00503676" w:rsidP="00EE5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76" w:rsidRDefault="00503676" w:rsidP="00EE5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76" w:rsidRDefault="00503676" w:rsidP="00EE5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76" w:rsidRDefault="00503676" w:rsidP="00EE5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76" w:rsidRDefault="00503676" w:rsidP="00EE5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84B" w:rsidRDefault="006A784B" w:rsidP="00EE5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84B" w:rsidRDefault="006A784B" w:rsidP="00EE5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84B" w:rsidRDefault="006A784B" w:rsidP="00EE5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84B" w:rsidRDefault="006A784B" w:rsidP="00EE5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84" w:rsidRDefault="00EE5E53" w:rsidP="00F60B84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8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12E7B" w:rsidRPr="00F60B84" w:rsidRDefault="00012E7B" w:rsidP="00012E7B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и цель исследования</w:t>
      </w:r>
    </w:p>
    <w:p w:rsidR="00501CF3" w:rsidRDefault="00501CF3" w:rsidP="00EE5E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исследования послужил приказ ФАС России от </w:t>
      </w:r>
      <w:r w:rsidR="003236C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83E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236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236CC">
        <w:rPr>
          <w:rFonts w:ascii="Times New Roman" w:hAnsi="Times New Roman" w:cs="Times New Roman"/>
          <w:sz w:val="28"/>
          <w:szCs w:val="28"/>
        </w:rPr>
        <w:t>1718</w:t>
      </w:r>
      <w:r>
        <w:rPr>
          <w:rFonts w:ascii="Times New Roman" w:hAnsi="Times New Roman" w:cs="Times New Roman"/>
          <w:sz w:val="28"/>
          <w:szCs w:val="28"/>
        </w:rPr>
        <w:t>/1</w:t>
      </w:r>
      <w:r w:rsidR="003236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 плане работы</w:t>
      </w:r>
      <w:r w:rsidR="003236CC">
        <w:rPr>
          <w:rFonts w:ascii="Times New Roman" w:hAnsi="Times New Roman" w:cs="Times New Roman"/>
          <w:sz w:val="28"/>
          <w:szCs w:val="28"/>
        </w:rPr>
        <w:t xml:space="preserve"> ФАС России</w:t>
      </w:r>
      <w:r>
        <w:rPr>
          <w:rFonts w:ascii="Times New Roman" w:hAnsi="Times New Roman" w:cs="Times New Roman"/>
          <w:sz w:val="28"/>
          <w:szCs w:val="28"/>
        </w:rPr>
        <w:t xml:space="preserve"> по анализу состояния конкуренции на товарных рынках на 201</w:t>
      </w:r>
      <w:r w:rsidR="003236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236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26DA2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предусмотрено проведение анализа состояния конкуренции на розничном рынке </w:t>
      </w:r>
      <w:r w:rsidR="00F71228">
        <w:rPr>
          <w:rFonts w:ascii="Times New Roman" w:hAnsi="Times New Roman" w:cs="Times New Roman"/>
          <w:sz w:val="28"/>
          <w:szCs w:val="28"/>
        </w:rPr>
        <w:t>дизельного топлива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CF3" w:rsidRDefault="00501CF3" w:rsidP="00EE5E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236CC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анализ состояния конкурен</w:t>
      </w:r>
      <w:r w:rsidR="003236CC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на розничном рынке </w:t>
      </w:r>
      <w:r w:rsidR="00F71228">
        <w:rPr>
          <w:rFonts w:ascii="Times New Roman" w:hAnsi="Times New Roman" w:cs="Times New Roman"/>
          <w:sz w:val="28"/>
          <w:szCs w:val="28"/>
        </w:rPr>
        <w:t>дизельного топлива</w:t>
      </w:r>
      <w:r w:rsidR="003236CC">
        <w:rPr>
          <w:rFonts w:ascii="Times New Roman" w:hAnsi="Times New Roman" w:cs="Times New Roman"/>
          <w:sz w:val="28"/>
          <w:szCs w:val="28"/>
        </w:rPr>
        <w:t xml:space="preserve"> является: установление доминирующего положения вертикально-интегрированных нефтяных компаний (далее – ВИНК) на региональном рынке.</w:t>
      </w:r>
    </w:p>
    <w:p w:rsidR="00501CF3" w:rsidRDefault="00501CF3" w:rsidP="00EE5E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состояния конкурен</w:t>
      </w:r>
      <w:r w:rsidR="003236CC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на товарном рынке и установление доминирующего положения хозяйствующ</w:t>
      </w:r>
      <w:r w:rsidR="003236C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236C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осуществлены в соответствии с:</w:t>
      </w:r>
    </w:p>
    <w:p w:rsidR="00501CF3" w:rsidRDefault="00501CF3" w:rsidP="00EE5E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26.07.2006 № 135-ФЗ «О защите конкуренции»</w:t>
      </w:r>
      <w:r w:rsidR="00126DA2">
        <w:rPr>
          <w:rFonts w:ascii="Times New Roman" w:hAnsi="Times New Roman" w:cs="Times New Roman"/>
          <w:sz w:val="28"/>
          <w:szCs w:val="28"/>
        </w:rPr>
        <w:t xml:space="preserve"> (далее  – Закон о защите конкуренции)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CF3" w:rsidRDefault="00501CF3" w:rsidP="00EE5E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E53">
        <w:rPr>
          <w:rFonts w:ascii="Times New Roman" w:hAnsi="Times New Roman" w:cs="Times New Roman"/>
          <w:sz w:val="28"/>
          <w:szCs w:val="28"/>
        </w:rPr>
        <w:t>Порядком проведения состояния конкуренции на товарном рынке</w:t>
      </w:r>
      <w:r w:rsidR="00494C28">
        <w:rPr>
          <w:rFonts w:ascii="Times New Roman" w:hAnsi="Times New Roman" w:cs="Times New Roman"/>
          <w:sz w:val="28"/>
          <w:szCs w:val="28"/>
        </w:rPr>
        <w:t>,</w:t>
      </w:r>
      <w:r w:rsidR="00EE5E53">
        <w:rPr>
          <w:rFonts w:ascii="Times New Roman" w:hAnsi="Times New Roman" w:cs="Times New Roman"/>
          <w:sz w:val="28"/>
          <w:szCs w:val="28"/>
        </w:rPr>
        <w:t xml:space="preserve"> утвержденным приказом ФАС России от 28.04.2010 № 220 (далее – Порядок)</w:t>
      </w:r>
      <w:r w:rsidR="003236CC">
        <w:rPr>
          <w:rFonts w:ascii="Times New Roman" w:hAnsi="Times New Roman" w:cs="Times New Roman"/>
          <w:sz w:val="28"/>
          <w:szCs w:val="28"/>
        </w:rPr>
        <w:t>.</w:t>
      </w:r>
    </w:p>
    <w:p w:rsidR="00012E7B" w:rsidRDefault="00012E7B" w:rsidP="00EE5E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51" w:rsidRDefault="00012E7B" w:rsidP="00012E7B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исходной информации</w:t>
      </w:r>
    </w:p>
    <w:p w:rsidR="00F20D83" w:rsidRPr="00F20D83" w:rsidRDefault="00F20D83" w:rsidP="00F20D8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F20D83">
        <w:rPr>
          <w:rFonts w:ascii="Times New Roman" w:hAnsi="Times New Roman" w:cs="Times New Roman"/>
          <w:sz w:val="28"/>
          <w:szCs w:val="28"/>
        </w:rPr>
        <w:t>В качестве исходной информации использованы:</w:t>
      </w:r>
    </w:p>
    <w:p w:rsidR="00F20D83" w:rsidRPr="00012E7B" w:rsidRDefault="00F20D83" w:rsidP="00F20D8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общероссийский классификатор видов экономической деятельности, принятый Постановлением Государственного комитета Российской Федерации по стандартизации и метрологии от 06.11.2001 № 454-ст;</w:t>
      </w:r>
    </w:p>
    <w:p w:rsidR="00F20D83" w:rsidRDefault="00F20D83" w:rsidP="00F20D8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сведения, представленные: </w:t>
      </w:r>
    </w:p>
    <w:p w:rsidR="00F20D83" w:rsidRDefault="00F20D83" w:rsidP="00F20D8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Управлением Министерства внутренних дел России по Орловской области;</w:t>
      </w:r>
    </w:p>
    <w:p w:rsidR="00F20D83" w:rsidRDefault="00F20D83" w:rsidP="00F20D8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Орловской области (Управление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области);</w:t>
      </w:r>
    </w:p>
    <w:p w:rsidR="00F20D83" w:rsidRDefault="00F20D83" w:rsidP="00F20D8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администрациями муниципальных образований Орловской области;</w:t>
      </w:r>
    </w:p>
    <w:p w:rsidR="00F20D83" w:rsidRDefault="00F20D83" w:rsidP="00F20D8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об объемах розничной реализации нефтепродуктов за 2016 год, представленные участниками рынка. </w:t>
      </w:r>
    </w:p>
    <w:p w:rsidR="00D07027" w:rsidRDefault="00D07027" w:rsidP="00EE5E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B84" w:rsidRPr="00F60B84" w:rsidRDefault="00D07027" w:rsidP="00F60B8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84">
        <w:rPr>
          <w:rFonts w:ascii="Times New Roman" w:hAnsi="Times New Roman" w:cs="Times New Roman"/>
          <w:b/>
          <w:sz w:val="28"/>
          <w:szCs w:val="28"/>
        </w:rPr>
        <w:t>Временной интервал исследования товарного рынка</w:t>
      </w:r>
    </w:p>
    <w:p w:rsidR="00F20D83" w:rsidRDefault="00F20D83" w:rsidP="00F20D8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5 Закона о защите конкуренции временной интервал анализа состояния конкуренции определяется в зависимости от цели исследования, особенностей товарного рынка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доступности информации.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</w:t>
      </w:r>
      <w:r w:rsidRPr="000C2D14">
        <w:rPr>
          <w:rFonts w:ascii="Times New Roman" w:hAnsi="Times New Roman" w:cs="Times New Roman"/>
          <w:sz w:val="28"/>
          <w:szCs w:val="28"/>
        </w:rPr>
        <w:t>один год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6DA2" w:rsidRDefault="00126DA2" w:rsidP="00126DA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приказу ФАС России от 0</w:t>
      </w:r>
      <w:r w:rsidR="00F20D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F20D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20D83">
        <w:rPr>
          <w:rFonts w:ascii="Times New Roman" w:hAnsi="Times New Roman" w:cs="Times New Roman"/>
          <w:sz w:val="28"/>
          <w:szCs w:val="28"/>
        </w:rPr>
        <w:t>1718</w:t>
      </w:r>
      <w:r>
        <w:rPr>
          <w:rFonts w:ascii="Times New Roman" w:hAnsi="Times New Roman" w:cs="Times New Roman"/>
          <w:sz w:val="28"/>
          <w:szCs w:val="28"/>
        </w:rPr>
        <w:t>/1</w:t>
      </w:r>
      <w:r w:rsidR="00F20D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 План</w:t>
      </w:r>
      <w:r w:rsidR="00F20D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работы ФАС России по анализу состояния конкуренции на товарных рынках на 201</w:t>
      </w:r>
      <w:r w:rsidR="000709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70969">
        <w:rPr>
          <w:rFonts w:ascii="Times New Roman" w:hAnsi="Times New Roman" w:cs="Times New Roman"/>
          <w:sz w:val="28"/>
          <w:szCs w:val="28"/>
        </w:rPr>
        <w:t xml:space="preserve">8 годы 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 методическими рекомендациями по подготовке аналитического отчета о состоянии </w:t>
      </w:r>
      <w:r w:rsidR="00070969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 xml:space="preserve"> на розничн</w:t>
      </w:r>
      <w:r w:rsidR="0007096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рынк</w:t>
      </w:r>
      <w:r w:rsidR="000709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969">
        <w:rPr>
          <w:rFonts w:ascii="Times New Roman" w:hAnsi="Times New Roman" w:cs="Times New Roman"/>
          <w:sz w:val="28"/>
          <w:szCs w:val="28"/>
        </w:rPr>
        <w:t>дизельного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969">
        <w:rPr>
          <w:rFonts w:ascii="Times New Roman" w:hAnsi="Times New Roman" w:cs="Times New Roman"/>
          <w:sz w:val="28"/>
          <w:szCs w:val="28"/>
        </w:rPr>
        <w:t>топлива</w:t>
      </w:r>
      <w:r>
        <w:rPr>
          <w:rFonts w:ascii="Times New Roman" w:hAnsi="Times New Roman" w:cs="Times New Roman"/>
          <w:sz w:val="28"/>
          <w:szCs w:val="28"/>
        </w:rPr>
        <w:t>, разработанных Управлением контроля топливно-энергетического комплекса ФАС России, временной интервал исследования определен как период 01.0</w:t>
      </w:r>
      <w:r w:rsidR="000709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709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09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0709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709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740BE" w:rsidRDefault="00A740BE" w:rsidP="00D070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B84" w:rsidRPr="00F60B84" w:rsidRDefault="00D07027" w:rsidP="00F60B8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84">
        <w:rPr>
          <w:rFonts w:ascii="Times New Roman" w:hAnsi="Times New Roman" w:cs="Times New Roman"/>
          <w:b/>
          <w:sz w:val="28"/>
          <w:szCs w:val="28"/>
        </w:rPr>
        <w:t>Продуктовые границы рынка</w:t>
      </w:r>
    </w:p>
    <w:p w:rsidR="00B405FB" w:rsidRDefault="00B405FB" w:rsidP="00D76C6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Предварительно, продуктовые границы рынка определ</w:t>
      </w:r>
      <w:r w:rsidR="0043676A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«а» 3.4 Порядка как дизельное топливо.</w:t>
      </w:r>
    </w:p>
    <w:p w:rsidR="0043676A" w:rsidRDefault="0043676A" w:rsidP="00D76C6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Общероссийскому классификатору видов экономической деятельности, принятому Постановлением Государственного комитета Российской Федерации по стандартизации и метрологии от 06.11.2001 № 454-ст, розничная торговля дизельным топливом классифицирована в группе 50.50 «Розничная торговля моторным топливом». </w:t>
      </w:r>
    </w:p>
    <w:p w:rsidR="00B405FB" w:rsidRDefault="00B405FB" w:rsidP="00D76C6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3.5 Порядка произведен следующий анализ свойств товара, определяющих выбор покупателя.</w:t>
      </w:r>
    </w:p>
    <w:p w:rsidR="0020505B" w:rsidRDefault="0020505B" w:rsidP="007A04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Дизельное топливо предназначено для </w:t>
      </w:r>
      <w:r w:rsidR="004D7120">
        <w:rPr>
          <w:rFonts w:ascii="Times New Roman" w:hAnsi="Times New Roman" w:cs="Times New Roman"/>
          <w:sz w:val="28"/>
          <w:szCs w:val="28"/>
        </w:rPr>
        <w:t>двигателей внутреннего сгорания (</w:t>
      </w:r>
      <w:r>
        <w:rPr>
          <w:rFonts w:ascii="Times New Roman" w:hAnsi="Times New Roman" w:cs="Times New Roman"/>
          <w:sz w:val="28"/>
          <w:szCs w:val="28"/>
        </w:rPr>
        <w:t>ДВС</w:t>
      </w:r>
      <w:r w:rsidR="004D71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воспламенением рабочей смеси от сжатия (дизелей). ГОСТы по дизельному топливу определяют область применения дизельного топлива как моторное топливо для дизельных и газотурбинных двигате</w:t>
      </w:r>
      <w:r w:rsidR="006B1020">
        <w:rPr>
          <w:rFonts w:ascii="Times New Roman" w:hAnsi="Times New Roman" w:cs="Times New Roman"/>
          <w:sz w:val="28"/>
          <w:szCs w:val="28"/>
        </w:rPr>
        <w:t>лей (ГОСТ 305-82 гласит: «Настоящий стандарт распространяется на топливо для быстроходных дизельных и газотурбинных двигателей</w:t>
      </w:r>
      <w:r w:rsidR="004D7120">
        <w:rPr>
          <w:rFonts w:ascii="Times New Roman" w:hAnsi="Times New Roman" w:cs="Times New Roman"/>
          <w:sz w:val="28"/>
          <w:szCs w:val="28"/>
        </w:rPr>
        <w:t>…</w:t>
      </w:r>
      <w:r w:rsidR="006B1020">
        <w:rPr>
          <w:rFonts w:ascii="Times New Roman" w:hAnsi="Times New Roman" w:cs="Times New Roman"/>
          <w:sz w:val="28"/>
          <w:szCs w:val="28"/>
        </w:rPr>
        <w:t>»).</w:t>
      </w:r>
    </w:p>
    <w:p w:rsidR="003D366C" w:rsidRDefault="003D366C" w:rsidP="0074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зависимости от применения дизельного топлива ГОСТ 305-82 устанавливает три марки дизельного топлива: Л (летнее) – рекомендуемое для эксплуатации при температуре окружающего воздуха 0</w:t>
      </w:r>
      <w:r w:rsidRPr="003D366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 и выше; З (зимнее) – рекомендуемое для эксплуатации при температуре окружающего воздуха минус 20</w:t>
      </w:r>
      <w:r w:rsidRPr="003D366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 и выше (t застывания топлива не выше минус 35</w:t>
      </w:r>
      <w:r w:rsidRPr="003D366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С) и минус 30</w:t>
      </w:r>
      <w:r w:rsidRPr="003D366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 и выше (t застывания топлива не выше минус 45</w:t>
      </w:r>
      <w:r w:rsidRPr="003D366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С); А (арктическое) – рекомендуемое для эксплуатации при температуре окружающего воздуха минус 50</w:t>
      </w:r>
      <w:r w:rsidRPr="003D366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 и выше.</w:t>
      </w:r>
    </w:p>
    <w:p w:rsidR="003D366C" w:rsidRPr="003D366C" w:rsidRDefault="003D366C" w:rsidP="0074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вышеперечисленные марки дизельного топлива имеют одно функциональное назначение (топливо для быстроходных дизельных и газотурбинных двигателей), при переходе с марки на марку двигатели не требуют конструктивных изменений</w:t>
      </w:r>
      <w:r w:rsidR="007D31E3">
        <w:rPr>
          <w:rFonts w:ascii="Times New Roman" w:hAnsi="Times New Roman" w:cs="Times New Roman"/>
          <w:sz w:val="28"/>
          <w:szCs w:val="28"/>
        </w:rPr>
        <w:t xml:space="preserve">. Все указанные марки дизельного </w:t>
      </w:r>
      <w:r w:rsidR="007D31E3">
        <w:rPr>
          <w:rFonts w:ascii="Times New Roman" w:hAnsi="Times New Roman" w:cs="Times New Roman"/>
          <w:sz w:val="28"/>
          <w:szCs w:val="28"/>
        </w:rPr>
        <w:lastRenderedPageBreak/>
        <w:t>топлива имеют одинаковые требования к упаковке, маркировке, хранению и транспортировке (по ГОСТ 1510). Дифференциация марок и незначительные отличия в технических характеристиках обусловлены не различиями в применении потребителями в качестве моторного топлива, а климатическими условиями (сезонностью, температурой окружающей среды) едиными для всех потребителей. Состав продавцов при этом также остается неизменным.</w:t>
      </w:r>
    </w:p>
    <w:p w:rsidR="007A6C05" w:rsidRDefault="007A6C05" w:rsidP="0074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1E3">
        <w:rPr>
          <w:rFonts w:ascii="Times New Roman" w:hAnsi="Times New Roman" w:cs="Times New Roman"/>
          <w:sz w:val="28"/>
          <w:szCs w:val="28"/>
        </w:rPr>
        <w:t xml:space="preserve">Таким образом, дизельное топливо, реализуемое в качестве моторного топлива для автомобильных дизельных двигателей, независимо от единых для всех потребителей и продавцов изменений условий потребления, представляет собой один товар. </w:t>
      </w:r>
    </w:p>
    <w:p w:rsidR="004D7120" w:rsidRDefault="004D7120" w:rsidP="00741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исключения взаимозаменяемости дизельного и газового топлива следует отметить, что для работы автомобиля на сжиженном газе необходима специальная газобаллонная установка. К существенным недостаткам газобаллонных автомобилей можно отнести уменьшение грузоподъемности автомобиля и повышение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Следует учитывать и тот факт, что расположение газовых заправочных станций носит локализованный характер и на отдельных территориях отсутствует возможность заправки данным видом топлива.</w:t>
      </w:r>
    </w:p>
    <w:p w:rsidR="00505411" w:rsidRDefault="0027514B" w:rsidP="00A6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0B84" w:rsidRPr="00F60B84" w:rsidRDefault="00505411" w:rsidP="00F60B8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84">
        <w:rPr>
          <w:rFonts w:ascii="Times New Roman" w:hAnsi="Times New Roman" w:cs="Times New Roman"/>
          <w:b/>
          <w:sz w:val="28"/>
          <w:szCs w:val="28"/>
        </w:rPr>
        <w:t>Географические границы рынка</w:t>
      </w:r>
    </w:p>
    <w:p w:rsidR="00505411" w:rsidRDefault="00505411" w:rsidP="007C076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IV Порядка географические границы рынка рассматриваются относительно спроса и предложения  и сводятся к определению территории, на которой с одной стороны покупатели могут приобрести товар, не испытывая затруднений и не неся чрезмерных затрат, с другой стороны, функционируют поставщики, готовые конкурировать на данном товарном рынке. </w:t>
      </w:r>
    </w:p>
    <w:p w:rsidR="006A4D6A" w:rsidRDefault="006A4D6A" w:rsidP="006A4D6A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Исходя из территориальной фиксированности автозаправочных станций (далее – АЗС), основными ограничениями экономической возможности приобретения автомобильных бензинов потребителем являются расположение АЗС, расстояние до АЗС, маршрут следования до АЗС и транспортные расходы, связанные с поиском и приобретением автомобильных бензинов. </w:t>
      </w:r>
      <w:r w:rsidRPr="007B54DF">
        <w:rPr>
          <w:rFonts w:ascii="Times New Roman" w:hAnsi="Times New Roman" w:cs="Times New Roman"/>
          <w:sz w:val="28"/>
          <w:szCs w:val="28"/>
        </w:rPr>
        <w:t>В качестве географических границ исследования региональной розничной реализации автомобильных бензинов приняты</w:t>
      </w:r>
      <w:r>
        <w:t xml:space="preserve"> </w:t>
      </w:r>
      <w:r w:rsidRPr="007B54DF">
        <w:rPr>
          <w:rFonts w:ascii="Times New Roman" w:hAnsi="Times New Roman" w:cs="Times New Roman"/>
          <w:sz w:val="28"/>
          <w:szCs w:val="28"/>
        </w:rPr>
        <w:t>административные границы (территория) Орловской области.</w:t>
      </w:r>
      <w:r w:rsidRPr="003524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A4D6A" w:rsidRPr="007B54DF" w:rsidRDefault="006A4D6A" w:rsidP="006A4D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4DF">
        <w:rPr>
          <w:rFonts w:ascii="Times New Roman" w:hAnsi="Times New Roman" w:cs="Times New Roman"/>
          <w:sz w:val="28"/>
          <w:szCs w:val="28"/>
        </w:rPr>
        <w:t xml:space="preserve">В связи со специфическим характером товара потребители сами едут на АЗС для заправки. С точки зрения экономической целесообразности для розничного покупателя следует учитывать, что на поездку до АЗС для заправки автомобиля необходимо затратить определенное количество автомобильного топлива. Для покупателей дальность поездки, необходимой </w:t>
      </w:r>
      <w:r w:rsidRPr="007B54DF">
        <w:rPr>
          <w:rFonts w:ascii="Times New Roman" w:hAnsi="Times New Roman" w:cs="Times New Roman"/>
          <w:sz w:val="28"/>
          <w:szCs w:val="28"/>
        </w:rPr>
        <w:lastRenderedPageBreak/>
        <w:t>для заправки автомобиля, имеет существенное значение, так как это связано с дополнительным расходом топлива (денег) и времени, так как потребление товара владельцами автомобилей осуществляется довольно часто.</w:t>
      </w:r>
    </w:p>
    <w:p w:rsidR="006A4D6A" w:rsidRPr="004C55E5" w:rsidRDefault="006A4D6A" w:rsidP="006A4D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5E5">
        <w:rPr>
          <w:rFonts w:ascii="Times New Roman" w:hAnsi="Times New Roman" w:cs="Times New Roman"/>
          <w:sz w:val="28"/>
          <w:szCs w:val="28"/>
        </w:rPr>
        <w:t xml:space="preserve">Автозаправочные станции располагаются обычно вдоль дорог и трасс с большим потоком движения транспорта. Потребителям удобно пользоваться услугами тех АЗС, которые находятся по пути следования автомобиля. Таким образом, рынки розничной продажи </w:t>
      </w:r>
      <w:r>
        <w:rPr>
          <w:rFonts w:ascii="Times New Roman" w:hAnsi="Times New Roman" w:cs="Times New Roman"/>
          <w:sz w:val="28"/>
          <w:szCs w:val="28"/>
        </w:rPr>
        <w:t>дизельного топлива</w:t>
      </w:r>
      <w:r w:rsidRPr="004C55E5">
        <w:rPr>
          <w:rFonts w:ascii="Times New Roman" w:hAnsi="Times New Roman" w:cs="Times New Roman"/>
          <w:sz w:val="28"/>
          <w:szCs w:val="28"/>
        </w:rPr>
        <w:t xml:space="preserve"> для конкретного потребителя в основном локализованы зоной, прилегающей к маршруту следования автомобиля.</w:t>
      </w:r>
    </w:p>
    <w:p w:rsidR="006A4D6A" w:rsidRPr="00CF1EC3" w:rsidRDefault="00070969" w:rsidP="006A4D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4D6A" w:rsidRPr="00CF1EC3">
        <w:rPr>
          <w:rFonts w:ascii="Times New Roman" w:hAnsi="Times New Roman" w:cs="Times New Roman"/>
          <w:sz w:val="28"/>
          <w:szCs w:val="28"/>
        </w:rPr>
        <w:t xml:space="preserve"> Орловской области можно выявить множество розничных локальных рынков </w:t>
      </w:r>
      <w:r w:rsidR="006A4D6A">
        <w:rPr>
          <w:rFonts w:ascii="Times New Roman" w:hAnsi="Times New Roman" w:cs="Times New Roman"/>
          <w:sz w:val="28"/>
          <w:szCs w:val="28"/>
        </w:rPr>
        <w:t>дизельного топлива</w:t>
      </w:r>
      <w:r w:rsidR="006A4D6A" w:rsidRPr="00CF1EC3">
        <w:rPr>
          <w:rFonts w:ascii="Times New Roman" w:hAnsi="Times New Roman" w:cs="Times New Roman"/>
          <w:sz w:val="28"/>
          <w:szCs w:val="28"/>
        </w:rPr>
        <w:t>.</w:t>
      </w:r>
    </w:p>
    <w:p w:rsidR="006A4D6A" w:rsidRPr="00CF1EC3" w:rsidRDefault="006A4D6A" w:rsidP="006A4D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 xml:space="preserve">В качестве предварительных географических границ локальных розничных рынков </w:t>
      </w:r>
      <w:r>
        <w:rPr>
          <w:rFonts w:ascii="Times New Roman" w:hAnsi="Times New Roman" w:cs="Times New Roman"/>
          <w:sz w:val="28"/>
          <w:szCs w:val="28"/>
        </w:rPr>
        <w:t>дизельного топлива</w:t>
      </w:r>
      <w:r w:rsidRPr="00CF1EC3">
        <w:rPr>
          <w:rFonts w:ascii="Times New Roman" w:hAnsi="Times New Roman" w:cs="Times New Roman"/>
          <w:sz w:val="28"/>
          <w:szCs w:val="28"/>
        </w:rPr>
        <w:t xml:space="preserve"> с учетом экономико-географического положения и автотранспортной инфраструктуры приняты административные границы муниципальных образований (районов) Орловской области. Предполагалось, что в пределах этих границ пролегают основные маршруты регулярного движения автотранспорта предприятий и организаций, имеющих своим местонахождением соответствующее муниципальное образование, а также частного автотранспорта, владельцы которого проживают в данном муниципальном образовании.</w:t>
      </w:r>
    </w:p>
    <w:p w:rsidR="006A4D6A" w:rsidRPr="00CF1EC3" w:rsidRDefault="006A4D6A" w:rsidP="006A4D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 xml:space="preserve">Уточнение географических границ локальных розничных рынков </w:t>
      </w:r>
      <w:r w:rsidR="00E343A2">
        <w:rPr>
          <w:rFonts w:ascii="Times New Roman" w:hAnsi="Times New Roman" w:cs="Times New Roman"/>
          <w:sz w:val="28"/>
          <w:szCs w:val="28"/>
        </w:rPr>
        <w:t>нефтепродуктов Орловской области</w:t>
      </w:r>
      <w:r w:rsidRPr="00CF1EC3">
        <w:rPr>
          <w:rFonts w:ascii="Times New Roman" w:hAnsi="Times New Roman" w:cs="Times New Roman"/>
          <w:sz w:val="28"/>
          <w:szCs w:val="28"/>
        </w:rPr>
        <w:t xml:space="preserve"> производилось путем оценки экономической возможности приобретения </w:t>
      </w:r>
      <w:r w:rsidR="00596469">
        <w:rPr>
          <w:rFonts w:ascii="Times New Roman" w:hAnsi="Times New Roman" w:cs="Times New Roman"/>
          <w:sz w:val="28"/>
          <w:szCs w:val="28"/>
        </w:rPr>
        <w:t>топлива</w:t>
      </w:r>
      <w:r w:rsidRPr="00CF1EC3">
        <w:rPr>
          <w:rFonts w:ascii="Times New Roman" w:hAnsi="Times New Roman" w:cs="Times New Roman"/>
          <w:sz w:val="28"/>
          <w:szCs w:val="28"/>
        </w:rPr>
        <w:t xml:space="preserve"> потребителем в соответствии с пунктами 4.2-4.4 Порядка.</w:t>
      </w:r>
    </w:p>
    <w:p w:rsidR="006A4D6A" w:rsidRPr="00CF1EC3" w:rsidRDefault="006A4D6A" w:rsidP="006A4D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 xml:space="preserve">Были проанализированы особенности географического расположения пунктов розничной реализации нефтепродуктов – стационарных АЗС с точки зрения организационно-транспортных схем приобретения </w:t>
      </w:r>
      <w:r w:rsidR="00596469">
        <w:rPr>
          <w:rFonts w:ascii="Times New Roman" w:hAnsi="Times New Roman" w:cs="Times New Roman"/>
          <w:sz w:val="28"/>
          <w:szCs w:val="28"/>
        </w:rPr>
        <w:t>дизельного топлива</w:t>
      </w:r>
      <w:r w:rsidRPr="00CF1EC3">
        <w:rPr>
          <w:rFonts w:ascii="Times New Roman" w:hAnsi="Times New Roman" w:cs="Times New Roman"/>
          <w:sz w:val="28"/>
          <w:szCs w:val="28"/>
        </w:rPr>
        <w:t xml:space="preserve"> потребителем. АЗС размещены по территории области весьма неравномерно. Это </w:t>
      </w:r>
      <w:r>
        <w:rPr>
          <w:rFonts w:ascii="Times New Roman" w:hAnsi="Times New Roman" w:cs="Times New Roman"/>
          <w:sz w:val="28"/>
          <w:szCs w:val="28"/>
        </w:rPr>
        <w:t>объясняется несколькими причинами</w:t>
      </w:r>
      <w:r w:rsidRPr="00CF1EC3">
        <w:rPr>
          <w:rFonts w:ascii="Times New Roman" w:hAnsi="Times New Roman" w:cs="Times New Roman"/>
          <w:sz w:val="28"/>
          <w:szCs w:val="28"/>
        </w:rPr>
        <w:t>:</w:t>
      </w:r>
    </w:p>
    <w:p w:rsidR="006A4D6A" w:rsidRPr="00CF1EC3" w:rsidRDefault="006A4D6A" w:rsidP="006A4D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>1) по территории Орловской области проходит автомобильная трасса федерального значения – М2 «Крым», пересекающая ее с севера на юг по территориям 4 муниципальных образований. Соответственно значительная часть АЗС дислоцируется вдоль указанной магистрали.</w:t>
      </w:r>
    </w:p>
    <w:p w:rsidR="006A4D6A" w:rsidRPr="00CF1EC3" w:rsidRDefault="006A4D6A" w:rsidP="006A4D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>2) сосредоточение промышленных предприятий в нескольких промышленных зонах, к которым относятся  г. Мценск, г. Ливны, г. Орел (предприятия машиностроения, пищевой промышленности, производство строительных материалов). В этих городах наблюдается повышенная концентрация АЗС.</w:t>
      </w:r>
    </w:p>
    <w:p w:rsidR="006A4D6A" w:rsidRDefault="006A4D6A" w:rsidP="006A4D6A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lastRenderedPageBreak/>
        <w:t xml:space="preserve">3) в районах Орловской области, не относящихся к развитым промышленным зонам и удаленным от федеральной трассы, АЗС дислоцируются, как правило, вблизи районных центров.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1EC3">
        <w:rPr>
          <w:rFonts w:ascii="Times New Roman" w:hAnsi="Times New Roman" w:cs="Times New Roman"/>
          <w:sz w:val="28"/>
          <w:szCs w:val="28"/>
        </w:rPr>
        <w:t>ротяженность районов в Орловской области (с севера на юг и с запада на восток)</w:t>
      </w:r>
      <w:r>
        <w:rPr>
          <w:rFonts w:ascii="Times New Roman" w:hAnsi="Times New Roman" w:cs="Times New Roman"/>
          <w:color w:val="4C4C4C"/>
          <w:sz w:val="28"/>
          <w:szCs w:val="28"/>
        </w:rPr>
        <w:t xml:space="preserve"> </w:t>
      </w:r>
      <w:r w:rsidRPr="0011605A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</w:rPr>
        <w:t xml:space="preserve">в среднем около </w:t>
      </w:r>
      <w:r w:rsidRPr="0011605A">
        <w:rPr>
          <w:rFonts w:ascii="Times New Roman" w:hAnsi="Times New Roman" w:cs="Times New Roman"/>
          <w:sz w:val="28"/>
          <w:szCs w:val="28"/>
        </w:rPr>
        <w:t>40 км.</w:t>
      </w:r>
      <w:r w:rsidRPr="00CF1E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A4D6A" w:rsidRDefault="006A4D6A" w:rsidP="006A4D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1EC3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1EC3">
        <w:rPr>
          <w:rFonts w:ascii="Times New Roman" w:hAnsi="Times New Roman" w:cs="Times New Roman"/>
          <w:sz w:val="28"/>
          <w:szCs w:val="28"/>
        </w:rPr>
        <w:t xml:space="preserve"> издержек потребителей на приобретение нефтепродуктов </w:t>
      </w:r>
      <w:r>
        <w:rPr>
          <w:rFonts w:ascii="Times New Roman" w:hAnsi="Times New Roman" w:cs="Times New Roman"/>
          <w:sz w:val="28"/>
          <w:szCs w:val="28"/>
        </w:rPr>
        <w:t xml:space="preserve">оценивалась </w:t>
      </w:r>
      <w:r w:rsidRPr="00CF1EC3">
        <w:rPr>
          <w:rFonts w:ascii="Times New Roman" w:hAnsi="Times New Roman" w:cs="Times New Roman"/>
          <w:sz w:val="28"/>
          <w:szCs w:val="28"/>
        </w:rPr>
        <w:t>в соответствии с п. 4.3 Порядка</w:t>
      </w:r>
      <w:r w:rsidR="00720CCA">
        <w:rPr>
          <w:rFonts w:ascii="Times New Roman" w:hAnsi="Times New Roman" w:cs="Times New Roman"/>
          <w:sz w:val="28"/>
          <w:szCs w:val="28"/>
        </w:rPr>
        <w:t xml:space="preserve">. </w:t>
      </w:r>
      <w:r w:rsidRPr="00CF1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 произведенных расчетов приведен в </w:t>
      </w:r>
      <w:r w:rsidR="006A784B" w:rsidRPr="006A784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</w:t>
      </w:r>
      <w:r w:rsidRPr="00330FB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риложени</w:t>
      </w:r>
      <w:r w:rsidR="006A784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9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аналитическому отчету.</w:t>
      </w:r>
    </w:p>
    <w:p w:rsidR="006A4D6A" w:rsidRPr="00486338" w:rsidRDefault="006A4D6A" w:rsidP="006A4D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338">
        <w:rPr>
          <w:rFonts w:ascii="Times New Roman" w:hAnsi="Times New Roman" w:cs="Times New Roman"/>
          <w:sz w:val="28"/>
          <w:szCs w:val="28"/>
        </w:rPr>
        <w:t>Сведения о локальных рынках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1D3">
        <w:rPr>
          <w:rFonts w:ascii="Times New Roman" w:hAnsi="Times New Roman" w:cs="Times New Roman"/>
          <w:sz w:val="28"/>
          <w:szCs w:val="28"/>
        </w:rPr>
        <w:t>нефтепродуктов</w:t>
      </w:r>
      <w:r w:rsidRPr="00486338">
        <w:rPr>
          <w:rFonts w:ascii="Times New Roman" w:hAnsi="Times New Roman" w:cs="Times New Roman"/>
          <w:sz w:val="28"/>
          <w:szCs w:val="28"/>
        </w:rPr>
        <w:t xml:space="preserve">, приведены в </w:t>
      </w:r>
      <w:r w:rsidRPr="0048633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Приложении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D831D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</w:t>
      </w:r>
      <w:r w:rsidRPr="00486338">
        <w:rPr>
          <w:rFonts w:ascii="Times New Roman" w:hAnsi="Times New Roman" w:cs="Times New Roman"/>
          <w:sz w:val="28"/>
          <w:szCs w:val="28"/>
        </w:rPr>
        <w:t xml:space="preserve"> к </w:t>
      </w:r>
      <w:r w:rsidR="00D831D3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аналитическому отчету</w:t>
      </w:r>
      <w:r w:rsidRPr="00486338">
        <w:rPr>
          <w:rFonts w:ascii="Times New Roman" w:hAnsi="Times New Roman" w:cs="Times New Roman"/>
          <w:sz w:val="28"/>
          <w:szCs w:val="28"/>
        </w:rPr>
        <w:t>.</w:t>
      </w:r>
    </w:p>
    <w:p w:rsidR="00421618" w:rsidRDefault="00421618" w:rsidP="007C076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1618" w:rsidRDefault="00421618" w:rsidP="0042161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18">
        <w:rPr>
          <w:rFonts w:ascii="Times New Roman" w:hAnsi="Times New Roman" w:cs="Times New Roman"/>
          <w:b/>
          <w:sz w:val="28"/>
          <w:szCs w:val="28"/>
        </w:rPr>
        <w:t>Состав хозяйствующих субъектов, действующих на товарном рынке</w:t>
      </w:r>
    </w:p>
    <w:p w:rsidR="00421618" w:rsidRPr="00421618" w:rsidRDefault="00421618" w:rsidP="00134D0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хозяйствующих субъектов, действующих на региональном розничном рынке </w:t>
      </w:r>
      <w:r w:rsidR="00526C0A">
        <w:rPr>
          <w:rFonts w:ascii="Times New Roman" w:hAnsi="Times New Roman" w:cs="Times New Roman"/>
          <w:sz w:val="28"/>
          <w:szCs w:val="28"/>
        </w:rPr>
        <w:t>дизельного топлива</w:t>
      </w:r>
      <w:r>
        <w:rPr>
          <w:rFonts w:ascii="Times New Roman" w:hAnsi="Times New Roman" w:cs="Times New Roman"/>
          <w:sz w:val="28"/>
          <w:szCs w:val="28"/>
        </w:rPr>
        <w:t>, определялся в соответствии с разделом V Порядка</w:t>
      </w:r>
      <w:r w:rsidR="00134D09">
        <w:rPr>
          <w:rFonts w:ascii="Times New Roman" w:hAnsi="Times New Roman" w:cs="Times New Roman"/>
          <w:sz w:val="28"/>
          <w:szCs w:val="28"/>
        </w:rPr>
        <w:t>.</w:t>
      </w:r>
    </w:p>
    <w:p w:rsidR="00134D09" w:rsidRPr="004E24D1" w:rsidRDefault="00134D09" w:rsidP="004E24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4D1">
        <w:rPr>
          <w:rFonts w:ascii="Times New Roman" w:hAnsi="Times New Roman" w:cs="Times New Roman"/>
          <w:sz w:val="28"/>
          <w:szCs w:val="28"/>
        </w:rPr>
        <w:t xml:space="preserve">Потребителями </w:t>
      </w:r>
      <w:r w:rsidR="00526C0A">
        <w:rPr>
          <w:rFonts w:ascii="Times New Roman" w:hAnsi="Times New Roman" w:cs="Times New Roman"/>
          <w:sz w:val="28"/>
          <w:szCs w:val="28"/>
        </w:rPr>
        <w:t>дизельного топлива</w:t>
      </w:r>
      <w:r w:rsidRPr="004E24D1">
        <w:rPr>
          <w:rFonts w:ascii="Times New Roman" w:hAnsi="Times New Roman" w:cs="Times New Roman"/>
          <w:sz w:val="28"/>
          <w:szCs w:val="28"/>
        </w:rPr>
        <w:t xml:space="preserve"> на розничном рынке региона являются:</w:t>
      </w:r>
    </w:p>
    <w:p w:rsidR="00421618" w:rsidRPr="00134D09" w:rsidRDefault="00134D09" w:rsidP="00DF581A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D09">
        <w:rPr>
          <w:rFonts w:ascii="Times New Roman" w:hAnsi="Times New Roman" w:cs="Times New Roman"/>
          <w:sz w:val="28"/>
          <w:szCs w:val="28"/>
        </w:rPr>
        <w:t xml:space="preserve">физические лица, имеющие в собственности (аренде) автотранспортные средства; </w:t>
      </w:r>
    </w:p>
    <w:p w:rsidR="00134D09" w:rsidRDefault="00134D09" w:rsidP="00DF581A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D09">
        <w:rPr>
          <w:rFonts w:ascii="Times New Roman" w:hAnsi="Times New Roman" w:cs="Times New Roman"/>
          <w:sz w:val="28"/>
          <w:szCs w:val="28"/>
        </w:rPr>
        <w:t>юридические лица, приобретающие моторное топливо для обеспечения собственного автопарка (автотранспортные предприятия, индивидуальные предприниматели, специализирующиеся на грузовых или пассажирских перевозках; хозяйствующие субъекты, любого вида деятельности, имеющие на балансе автопарк;  транзитные автотранспортные средства).</w:t>
      </w:r>
    </w:p>
    <w:p w:rsidR="00134D09" w:rsidRDefault="00134D09" w:rsidP="0033015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автопарка Орловской области по данным, представленным УГИБДД УВД Орловской области, приведен в </w:t>
      </w:r>
      <w:r w:rsidRPr="00B76F62">
        <w:rPr>
          <w:rFonts w:ascii="Times New Roman" w:hAnsi="Times New Roman" w:cs="Times New Roman"/>
          <w:color w:val="4F81BD" w:themeColor="accent1"/>
          <w:sz w:val="28"/>
          <w:szCs w:val="28"/>
        </w:rPr>
        <w:t>таблице 1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</w:t>
      </w:r>
      <w:r w:rsidR="00F60B84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CF3" w:rsidRDefault="009B0CF3" w:rsidP="009B0CF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2014-2016 гг. состав автопарка  региона увеличился на 18792 единицы техники (на 5,9%), в основном за счет роста количества легковых автомобилей – 17904 ед. (7,4%). </w:t>
      </w:r>
    </w:p>
    <w:p w:rsidR="009B0CF3" w:rsidRDefault="009B0CF3" w:rsidP="0033015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158" w:rsidRDefault="00330158" w:rsidP="0033015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8"/>
        <w:gridCol w:w="1843"/>
        <w:gridCol w:w="1418"/>
        <w:gridCol w:w="1559"/>
        <w:gridCol w:w="1346"/>
        <w:gridCol w:w="1596"/>
      </w:tblGrid>
      <w:tr w:rsidR="00330158" w:rsidTr="00596469">
        <w:tc>
          <w:tcPr>
            <w:tcW w:w="1808" w:type="dxa"/>
            <w:vMerge w:val="restart"/>
            <w:vAlign w:val="center"/>
          </w:tcPr>
          <w:p w:rsidR="00330158" w:rsidRPr="00330158" w:rsidRDefault="00330158" w:rsidP="00165F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5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vMerge w:val="restart"/>
            <w:vAlign w:val="center"/>
          </w:tcPr>
          <w:p w:rsidR="00330158" w:rsidRPr="00330158" w:rsidRDefault="00330158" w:rsidP="00165F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58">
              <w:rPr>
                <w:rFonts w:ascii="Times New Roman" w:hAnsi="Times New Roman" w:cs="Times New Roman"/>
                <w:sz w:val="24"/>
                <w:szCs w:val="24"/>
              </w:rPr>
              <w:t xml:space="preserve">Всего автомобилей, </w:t>
            </w:r>
            <w:proofErr w:type="spellStart"/>
            <w:r w:rsidRPr="0033015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919" w:type="dxa"/>
            <w:gridSpan w:val="4"/>
            <w:vAlign w:val="center"/>
          </w:tcPr>
          <w:p w:rsidR="00330158" w:rsidRPr="00222C20" w:rsidRDefault="00165FE1" w:rsidP="00165F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0158" w:rsidRPr="00222C2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</w:tr>
      <w:tr w:rsidR="00330158" w:rsidTr="00596469">
        <w:tc>
          <w:tcPr>
            <w:tcW w:w="1808" w:type="dxa"/>
            <w:vMerge/>
            <w:vAlign w:val="center"/>
          </w:tcPr>
          <w:p w:rsidR="00330158" w:rsidRPr="00330158" w:rsidRDefault="00330158" w:rsidP="00165F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30158" w:rsidRPr="00330158" w:rsidRDefault="00330158" w:rsidP="00165F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0158" w:rsidRPr="00330158" w:rsidRDefault="00330158" w:rsidP="00165F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58"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</w:tc>
        <w:tc>
          <w:tcPr>
            <w:tcW w:w="1559" w:type="dxa"/>
            <w:vAlign w:val="center"/>
          </w:tcPr>
          <w:p w:rsidR="00330158" w:rsidRPr="00222C20" w:rsidRDefault="00330158" w:rsidP="00165F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20">
              <w:rPr>
                <w:rFonts w:ascii="Times New Roman" w:hAnsi="Times New Roman" w:cs="Times New Roman"/>
                <w:sz w:val="24"/>
                <w:szCs w:val="24"/>
              </w:rPr>
              <w:t>грузовые</w:t>
            </w:r>
          </w:p>
        </w:tc>
        <w:tc>
          <w:tcPr>
            <w:tcW w:w="1346" w:type="dxa"/>
            <w:vAlign w:val="center"/>
          </w:tcPr>
          <w:p w:rsidR="00330158" w:rsidRPr="00222C20" w:rsidRDefault="00330158" w:rsidP="00165F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20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1596" w:type="dxa"/>
            <w:vAlign w:val="center"/>
          </w:tcPr>
          <w:p w:rsidR="00330158" w:rsidRPr="00222C20" w:rsidRDefault="00330158" w:rsidP="00165F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20">
              <w:rPr>
                <w:rFonts w:ascii="Times New Roman" w:hAnsi="Times New Roman" w:cs="Times New Roman"/>
                <w:sz w:val="24"/>
                <w:szCs w:val="24"/>
              </w:rPr>
              <w:t>спецтехника</w:t>
            </w:r>
          </w:p>
        </w:tc>
      </w:tr>
      <w:tr w:rsidR="00596469" w:rsidTr="00596469">
        <w:tc>
          <w:tcPr>
            <w:tcW w:w="1808" w:type="dxa"/>
          </w:tcPr>
          <w:p w:rsidR="00596469" w:rsidRPr="00330158" w:rsidRDefault="00596469" w:rsidP="005964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01.01.2013</w:t>
            </w:r>
          </w:p>
        </w:tc>
        <w:tc>
          <w:tcPr>
            <w:tcW w:w="1843" w:type="dxa"/>
            <w:vAlign w:val="center"/>
          </w:tcPr>
          <w:p w:rsidR="00596469" w:rsidRPr="00330158" w:rsidRDefault="00596469" w:rsidP="00923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286 943</w:t>
            </w:r>
          </w:p>
        </w:tc>
        <w:tc>
          <w:tcPr>
            <w:tcW w:w="1418" w:type="dxa"/>
            <w:vAlign w:val="center"/>
          </w:tcPr>
          <w:p w:rsidR="00596469" w:rsidRPr="00330158" w:rsidRDefault="00596469" w:rsidP="00923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226 120</w:t>
            </w:r>
          </w:p>
        </w:tc>
        <w:tc>
          <w:tcPr>
            <w:tcW w:w="1559" w:type="dxa"/>
            <w:vAlign w:val="center"/>
          </w:tcPr>
          <w:p w:rsidR="00596469" w:rsidRPr="00222C20" w:rsidRDefault="00596469" w:rsidP="00923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20">
              <w:rPr>
                <w:rFonts w:ascii="Times New Roman" w:hAnsi="Times New Roman" w:cs="Times New Roman"/>
                <w:sz w:val="24"/>
                <w:szCs w:val="24"/>
              </w:rPr>
              <w:t>42 987</w:t>
            </w:r>
          </w:p>
        </w:tc>
        <w:tc>
          <w:tcPr>
            <w:tcW w:w="1346" w:type="dxa"/>
            <w:vAlign w:val="center"/>
          </w:tcPr>
          <w:p w:rsidR="00596469" w:rsidRPr="00222C20" w:rsidRDefault="00596469" w:rsidP="00923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20">
              <w:rPr>
                <w:rFonts w:ascii="Times New Roman" w:hAnsi="Times New Roman" w:cs="Times New Roman"/>
                <w:sz w:val="24"/>
                <w:szCs w:val="24"/>
              </w:rPr>
              <w:t>5 524</w:t>
            </w:r>
          </w:p>
        </w:tc>
        <w:tc>
          <w:tcPr>
            <w:tcW w:w="1596" w:type="dxa"/>
            <w:vAlign w:val="center"/>
          </w:tcPr>
          <w:p w:rsidR="00596469" w:rsidRPr="00222C20" w:rsidRDefault="00596469" w:rsidP="00923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20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596469" w:rsidTr="00596469">
        <w:tc>
          <w:tcPr>
            <w:tcW w:w="1808" w:type="dxa"/>
          </w:tcPr>
          <w:p w:rsidR="00596469" w:rsidRDefault="00596469" w:rsidP="00596469">
            <w:pPr>
              <w:jc w:val="center"/>
            </w:pPr>
            <w:r w:rsidRPr="008C284D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96469" w:rsidRPr="00330158" w:rsidRDefault="00596469" w:rsidP="007A5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317 945</w:t>
            </w:r>
          </w:p>
        </w:tc>
        <w:tc>
          <w:tcPr>
            <w:tcW w:w="1418" w:type="dxa"/>
            <w:vAlign w:val="center"/>
          </w:tcPr>
          <w:p w:rsidR="00596469" w:rsidRPr="00330158" w:rsidRDefault="00596469" w:rsidP="007A5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241 334</w:t>
            </w:r>
          </w:p>
        </w:tc>
        <w:tc>
          <w:tcPr>
            <w:tcW w:w="1559" w:type="dxa"/>
            <w:vAlign w:val="center"/>
          </w:tcPr>
          <w:p w:rsidR="00596469" w:rsidRPr="00222C20" w:rsidRDefault="00596469" w:rsidP="007A5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20">
              <w:rPr>
                <w:rFonts w:ascii="Times New Roman" w:hAnsi="Times New Roman" w:cs="Times New Roman"/>
                <w:sz w:val="24"/>
                <w:szCs w:val="24"/>
              </w:rPr>
              <w:t>52 592</w:t>
            </w:r>
          </w:p>
        </w:tc>
        <w:tc>
          <w:tcPr>
            <w:tcW w:w="1346" w:type="dxa"/>
            <w:vAlign w:val="center"/>
          </w:tcPr>
          <w:p w:rsidR="00596469" w:rsidRPr="00222C20" w:rsidRDefault="00596469" w:rsidP="007A5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20">
              <w:rPr>
                <w:rFonts w:ascii="Times New Roman" w:hAnsi="Times New Roman" w:cs="Times New Roman"/>
                <w:sz w:val="24"/>
                <w:szCs w:val="24"/>
              </w:rPr>
              <w:t>5 171</w:t>
            </w:r>
          </w:p>
        </w:tc>
        <w:tc>
          <w:tcPr>
            <w:tcW w:w="1596" w:type="dxa"/>
            <w:vAlign w:val="center"/>
          </w:tcPr>
          <w:p w:rsidR="00596469" w:rsidRPr="00222C20" w:rsidRDefault="00596469" w:rsidP="007A5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20">
              <w:rPr>
                <w:rFonts w:ascii="Times New Roman" w:hAnsi="Times New Roman" w:cs="Times New Roman"/>
                <w:sz w:val="24"/>
                <w:szCs w:val="24"/>
              </w:rPr>
              <w:t>2 123</w:t>
            </w:r>
          </w:p>
        </w:tc>
      </w:tr>
      <w:tr w:rsidR="00070969" w:rsidTr="00596469">
        <w:tc>
          <w:tcPr>
            <w:tcW w:w="1808" w:type="dxa"/>
          </w:tcPr>
          <w:p w:rsidR="00070969" w:rsidRPr="008C284D" w:rsidRDefault="00070969" w:rsidP="0007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состоянию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70969" w:rsidRDefault="00222C20" w:rsidP="007A5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328 968</w:t>
            </w:r>
          </w:p>
        </w:tc>
        <w:tc>
          <w:tcPr>
            <w:tcW w:w="1418" w:type="dxa"/>
            <w:vAlign w:val="center"/>
          </w:tcPr>
          <w:p w:rsidR="00070969" w:rsidRDefault="00222C20" w:rsidP="007A5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254 135</w:t>
            </w:r>
          </w:p>
        </w:tc>
        <w:tc>
          <w:tcPr>
            <w:tcW w:w="1559" w:type="dxa"/>
            <w:vAlign w:val="center"/>
          </w:tcPr>
          <w:p w:rsidR="00070969" w:rsidRPr="00222C20" w:rsidRDefault="00222C20" w:rsidP="007A5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20">
              <w:rPr>
                <w:rFonts w:ascii="Times New Roman" w:hAnsi="Times New Roman" w:cs="Times New Roman"/>
                <w:sz w:val="24"/>
                <w:szCs w:val="24"/>
              </w:rPr>
              <w:t>53 944</w:t>
            </w:r>
          </w:p>
        </w:tc>
        <w:tc>
          <w:tcPr>
            <w:tcW w:w="1346" w:type="dxa"/>
            <w:vAlign w:val="center"/>
          </w:tcPr>
          <w:p w:rsidR="00070969" w:rsidRPr="00222C20" w:rsidRDefault="00222C20" w:rsidP="007A5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20">
              <w:rPr>
                <w:rFonts w:ascii="Times New Roman" w:hAnsi="Times New Roman" w:cs="Times New Roman"/>
                <w:sz w:val="24"/>
                <w:szCs w:val="24"/>
              </w:rPr>
              <w:t>6 568</w:t>
            </w:r>
          </w:p>
        </w:tc>
        <w:tc>
          <w:tcPr>
            <w:tcW w:w="1596" w:type="dxa"/>
            <w:vAlign w:val="center"/>
          </w:tcPr>
          <w:p w:rsidR="00070969" w:rsidRPr="00222C20" w:rsidRDefault="00222C20" w:rsidP="007A5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20">
              <w:rPr>
                <w:rFonts w:ascii="Times New Roman" w:hAnsi="Times New Roman" w:cs="Times New Roman"/>
                <w:sz w:val="24"/>
                <w:szCs w:val="24"/>
              </w:rPr>
              <w:t>сведений нет</w:t>
            </w:r>
          </w:p>
        </w:tc>
      </w:tr>
      <w:tr w:rsidR="00222C20" w:rsidTr="00596469">
        <w:tc>
          <w:tcPr>
            <w:tcW w:w="1808" w:type="dxa"/>
          </w:tcPr>
          <w:p w:rsidR="00222C20" w:rsidRPr="008C284D" w:rsidRDefault="00222C20" w:rsidP="0059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4D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22C20" w:rsidRDefault="00222C20" w:rsidP="007A5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334 696</w:t>
            </w:r>
          </w:p>
        </w:tc>
        <w:tc>
          <w:tcPr>
            <w:tcW w:w="1418" w:type="dxa"/>
            <w:vAlign w:val="center"/>
          </w:tcPr>
          <w:p w:rsidR="00222C20" w:rsidRDefault="00222C20" w:rsidP="007A5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258 073</w:t>
            </w:r>
          </w:p>
        </w:tc>
        <w:tc>
          <w:tcPr>
            <w:tcW w:w="1559" w:type="dxa"/>
            <w:vAlign w:val="center"/>
          </w:tcPr>
          <w:p w:rsidR="00222C20" w:rsidRPr="00222C20" w:rsidRDefault="00222C20" w:rsidP="007A5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20">
              <w:rPr>
                <w:rFonts w:ascii="Times New Roman" w:hAnsi="Times New Roman" w:cs="Times New Roman"/>
                <w:sz w:val="24"/>
                <w:szCs w:val="24"/>
              </w:rPr>
              <w:t>54505</w:t>
            </w:r>
          </w:p>
        </w:tc>
        <w:tc>
          <w:tcPr>
            <w:tcW w:w="1346" w:type="dxa"/>
            <w:vAlign w:val="center"/>
          </w:tcPr>
          <w:p w:rsidR="00222C20" w:rsidRPr="00222C20" w:rsidRDefault="00222C20" w:rsidP="007A5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20">
              <w:rPr>
                <w:rFonts w:ascii="Times New Roman" w:hAnsi="Times New Roman" w:cs="Times New Roman"/>
                <w:sz w:val="24"/>
                <w:szCs w:val="24"/>
              </w:rPr>
              <w:t>6 413</w:t>
            </w:r>
          </w:p>
        </w:tc>
        <w:tc>
          <w:tcPr>
            <w:tcW w:w="1596" w:type="dxa"/>
            <w:vAlign w:val="center"/>
          </w:tcPr>
          <w:p w:rsidR="00222C20" w:rsidRPr="00222C20" w:rsidRDefault="00222C20" w:rsidP="00CD4D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20">
              <w:rPr>
                <w:rFonts w:ascii="Times New Roman" w:hAnsi="Times New Roman" w:cs="Times New Roman"/>
                <w:sz w:val="24"/>
                <w:szCs w:val="24"/>
              </w:rPr>
              <w:t>сведений нет</w:t>
            </w:r>
          </w:p>
        </w:tc>
      </w:tr>
      <w:tr w:rsidR="00222C20" w:rsidTr="00596469">
        <w:tc>
          <w:tcPr>
            <w:tcW w:w="1808" w:type="dxa"/>
          </w:tcPr>
          <w:p w:rsidR="00222C20" w:rsidRPr="008C284D" w:rsidRDefault="00222C20" w:rsidP="0059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4D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22C20" w:rsidRDefault="00222C20" w:rsidP="007A5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336737</w:t>
            </w:r>
          </w:p>
        </w:tc>
        <w:tc>
          <w:tcPr>
            <w:tcW w:w="1418" w:type="dxa"/>
            <w:vAlign w:val="center"/>
          </w:tcPr>
          <w:p w:rsidR="00222C20" w:rsidRDefault="00222C20" w:rsidP="007A5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259 238</w:t>
            </w:r>
          </w:p>
        </w:tc>
        <w:tc>
          <w:tcPr>
            <w:tcW w:w="1559" w:type="dxa"/>
            <w:vAlign w:val="center"/>
          </w:tcPr>
          <w:p w:rsidR="00222C20" w:rsidRPr="00222C20" w:rsidRDefault="00222C20" w:rsidP="007A5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20">
              <w:rPr>
                <w:rFonts w:ascii="Times New Roman" w:hAnsi="Times New Roman" w:cs="Times New Roman"/>
                <w:sz w:val="24"/>
                <w:szCs w:val="24"/>
              </w:rPr>
              <w:t>54633</w:t>
            </w:r>
          </w:p>
        </w:tc>
        <w:tc>
          <w:tcPr>
            <w:tcW w:w="1346" w:type="dxa"/>
            <w:vAlign w:val="center"/>
          </w:tcPr>
          <w:p w:rsidR="00222C20" w:rsidRPr="00222C20" w:rsidRDefault="00222C20" w:rsidP="007A5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20">
              <w:rPr>
                <w:rFonts w:ascii="Times New Roman" w:hAnsi="Times New Roman" w:cs="Times New Roman"/>
                <w:sz w:val="24"/>
                <w:szCs w:val="24"/>
              </w:rPr>
              <w:t>6 313</w:t>
            </w:r>
          </w:p>
        </w:tc>
        <w:tc>
          <w:tcPr>
            <w:tcW w:w="1596" w:type="dxa"/>
            <w:vAlign w:val="center"/>
          </w:tcPr>
          <w:p w:rsidR="00222C20" w:rsidRPr="00222C20" w:rsidRDefault="00222C20" w:rsidP="00CD4D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20">
              <w:rPr>
                <w:rFonts w:ascii="Times New Roman" w:hAnsi="Times New Roman" w:cs="Times New Roman"/>
                <w:sz w:val="24"/>
                <w:szCs w:val="24"/>
              </w:rPr>
              <w:t>сведений нет</w:t>
            </w:r>
          </w:p>
        </w:tc>
      </w:tr>
    </w:tbl>
    <w:p w:rsidR="00330158" w:rsidRDefault="00330158" w:rsidP="0033015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521" w:rsidRDefault="00A51521" w:rsidP="00A5152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хозяйствующих субъектов, действующих на региональном рынке, включены продавцы, осуществляющие постоянную реализацию нефтепродуктов через автозаправочные станции.</w:t>
      </w:r>
    </w:p>
    <w:p w:rsidR="00596469" w:rsidRDefault="00596469" w:rsidP="0059646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установлено, что на территории Орловской области функционирует </w:t>
      </w:r>
      <w:r w:rsidR="00222C20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100 АЗС (без учета АЗС, которые используются для собственных нужд их владельцев), принадлежащих на праве собственности или аренды не менее чем  </w:t>
      </w:r>
      <w:r w:rsidR="00222C20">
        <w:rPr>
          <w:rFonts w:ascii="Times New Roman" w:hAnsi="Times New Roman" w:cs="Times New Roman"/>
          <w:sz w:val="28"/>
          <w:szCs w:val="28"/>
        </w:rPr>
        <w:t>28</w:t>
      </w:r>
      <w:r w:rsidR="00A51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хозяйствующим субъектам.  </w:t>
      </w:r>
    </w:p>
    <w:p w:rsidR="00596469" w:rsidRDefault="00596469" w:rsidP="0059646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Орловской области деятельность в качестве участников розничного рынка </w:t>
      </w:r>
      <w:r w:rsidR="002A4717">
        <w:rPr>
          <w:rFonts w:ascii="Times New Roman" w:hAnsi="Times New Roman" w:cs="Times New Roman"/>
          <w:sz w:val="28"/>
          <w:szCs w:val="28"/>
        </w:rPr>
        <w:t>дизельного топлива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22C20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оператора, входящие в структуру ВИНК: </w:t>
      </w:r>
      <w:r w:rsidR="00222C20">
        <w:rPr>
          <w:rFonts w:ascii="Times New Roman" w:hAnsi="Times New Roman" w:cs="Times New Roman"/>
          <w:sz w:val="28"/>
          <w:szCs w:val="28"/>
        </w:rPr>
        <w:t xml:space="preserve">АО «Орелнефтепродукт» </w:t>
      </w:r>
      <w:r>
        <w:rPr>
          <w:rFonts w:ascii="Times New Roman" w:hAnsi="Times New Roman" w:cs="Times New Roman"/>
          <w:sz w:val="28"/>
          <w:szCs w:val="28"/>
        </w:rPr>
        <w:t>вход</w:t>
      </w:r>
      <w:r w:rsidR="00222C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в структуру </w:t>
      </w:r>
      <w:r w:rsidR="00222C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АО «НК «Роснефть»  - 4</w:t>
      </w:r>
      <w:r w:rsidR="00A515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от общего количества АЗС региона, </w:t>
      </w:r>
      <w:r w:rsidR="00222C20">
        <w:rPr>
          <w:rFonts w:ascii="Times New Roman" w:hAnsi="Times New Roman" w:cs="Times New Roman"/>
          <w:sz w:val="28"/>
          <w:szCs w:val="28"/>
        </w:rPr>
        <w:t>ООО «Газэнергосеть розница»</w:t>
      </w:r>
      <w:r>
        <w:rPr>
          <w:rFonts w:ascii="Times New Roman" w:hAnsi="Times New Roman" w:cs="Times New Roman"/>
          <w:sz w:val="28"/>
          <w:szCs w:val="28"/>
        </w:rPr>
        <w:t xml:space="preserve"> – в структуру </w:t>
      </w:r>
      <w:r w:rsidR="00222C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АО «Газпром</w:t>
      </w:r>
      <w:r w:rsidR="00256CD8">
        <w:rPr>
          <w:rFonts w:ascii="Times New Roman" w:hAnsi="Times New Roman" w:cs="Times New Roman"/>
          <w:sz w:val="28"/>
          <w:szCs w:val="28"/>
        </w:rPr>
        <w:t xml:space="preserve"> нефть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6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A515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от общего количества региональных АЗС.</w:t>
      </w:r>
    </w:p>
    <w:p w:rsidR="00596469" w:rsidRDefault="00596469" w:rsidP="0059646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участников рынка (2</w:t>
      </w:r>
      <w:r w:rsidR="00A515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из 2</w:t>
      </w:r>
      <w:r w:rsidR="00A515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реализуют топливо через единственную, находящуюся в эксплуатации, АЗС. </w:t>
      </w:r>
    </w:p>
    <w:p w:rsidR="00A51521" w:rsidRDefault="00A51521" w:rsidP="00A5152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АЗС города Орла и районов области в зависимости от принадлежности  (непринадлежности) к ВИНК  существенно дифференцированы по внешнему виду, наличию современного оборудования, дополнительных услуг, применению различных способов оплаты и, как следствие, различны объемы реализации нефтепродуктов.</w:t>
      </w:r>
    </w:p>
    <w:p w:rsidR="004E24D1" w:rsidRDefault="004E24D1" w:rsidP="004E24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продавцов, действующих на региональном розничном рынке </w:t>
      </w:r>
      <w:r w:rsidR="00526C0A">
        <w:rPr>
          <w:rFonts w:ascii="Times New Roman" w:hAnsi="Times New Roman" w:cs="Times New Roman"/>
          <w:sz w:val="28"/>
          <w:szCs w:val="28"/>
        </w:rPr>
        <w:t>дизельного топлива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в </w:t>
      </w:r>
      <w:r w:rsidR="002A4717">
        <w:rPr>
          <w:rFonts w:ascii="Times New Roman" w:hAnsi="Times New Roman" w:cs="Times New Roman"/>
          <w:sz w:val="28"/>
          <w:szCs w:val="28"/>
        </w:rPr>
        <w:t>анализируемый период</w:t>
      </w:r>
      <w:r>
        <w:rPr>
          <w:rFonts w:ascii="Times New Roman" w:hAnsi="Times New Roman" w:cs="Times New Roman"/>
          <w:sz w:val="28"/>
          <w:szCs w:val="28"/>
        </w:rPr>
        <w:t xml:space="preserve"> установлен Орловским УФАС на основе всей доступной информации и является достаточным, чтобы установить доли крупнейших хозяйствующих субъектов, в том числе доминирующее положение хозяйствующего субъекта на соответствующем товарном рынке</w:t>
      </w:r>
      <w:r w:rsidR="00A51521">
        <w:rPr>
          <w:rFonts w:ascii="Times New Roman" w:hAnsi="Times New Roman" w:cs="Times New Roman"/>
          <w:sz w:val="28"/>
          <w:szCs w:val="28"/>
        </w:rPr>
        <w:t xml:space="preserve"> и приведен в Приложении 1 к настоящему анализу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F8F" w:rsidRDefault="00923F8F" w:rsidP="00923F8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следует отметить, что состав участников розничного рынка в регионе находится в процессе непрерывных быстропротекающих изменений, связанных с уходом с рынка одних и приходом других хозяйствующих субъектов, а также сменой прав собственности.</w:t>
      </w:r>
    </w:p>
    <w:p w:rsidR="00A51521" w:rsidRDefault="00A51521" w:rsidP="00A5152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Орловская область включает в себя  24 административных района. Согласно </w:t>
      </w:r>
      <w:r w:rsidRPr="00260DA2">
        <w:rPr>
          <w:rFonts w:ascii="Times New Roman" w:hAnsi="Times New Roman" w:cs="Times New Roman"/>
          <w:sz w:val="28"/>
          <w:szCs w:val="28"/>
        </w:rPr>
        <w:t>п.4.3</w:t>
      </w:r>
      <w:r>
        <w:rPr>
          <w:rFonts w:ascii="Times New Roman" w:hAnsi="Times New Roman" w:cs="Times New Roman"/>
          <w:sz w:val="28"/>
          <w:szCs w:val="28"/>
        </w:rPr>
        <w:t xml:space="preserve"> Порядка уточненные географические границы локальных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рынков в 1</w:t>
      </w:r>
      <w:r w:rsidRPr="00260D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случаях из 24 соответствуют принятым административным границам муниципальных образований: </w:t>
      </w:r>
    </w:p>
    <w:p w:rsidR="00A51521" w:rsidRDefault="00A51521" w:rsidP="00A515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805">
        <w:rPr>
          <w:rFonts w:ascii="Times New Roman" w:hAnsi="Times New Roman" w:cs="Times New Roman"/>
          <w:sz w:val="28"/>
          <w:szCs w:val="28"/>
        </w:rPr>
        <w:t xml:space="preserve">Болховский район, </w:t>
      </w:r>
    </w:p>
    <w:p w:rsidR="00A51521" w:rsidRDefault="00A51521" w:rsidP="00A515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805">
        <w:rPr>
          <w:rFonts w:ascii="Times New Roman" w:hAnsi="Times New Roman" w:cs="Times New Roman"/>
          <w:sz w:val="28"/>
          <w:szCs w:val="28"/>
        </w:rPr>
        <w:t xml:space="preserve">Дмитровский район, </w:t>
      </w:r>
    </w:p>
    <w:p w:rsidR="00A51521" w:rsidRDefault="00A51521" w:rsidP="00A515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805">
        <w:rPr>
          <w:rFonts w:ascii="Times New Roman" w:hAnsi="Times New Roman" w:cs="Times New Roman"/>
          <w:sz w:val="28"/>
          <w:szCs w:val="28"/>
        </w:rPr>
        <w:t>Должанский</w:t>
      </w:r>
      <w:proofErr w:type="spellEnd"/>
      <w:r w:rsidRPr="00236805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A51521" w:rsidRDefault="00A51521" w:rsidP="00A515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805">
        <w:rPr>
          <w:rFonts w:ascii="Times New Roman" w:hAnsi="Times New Roman" w:cs="Times New Roman"/>
          <w:sz w:val="28"/>
          <w:szCs w:val="28"/>
        </w:rPr>
        <w:t xml:space="preserve">Знаменский район, </w:t>
      </w:r>
    </w:p>
    <w:p w:rsidR="00A51521" w:rsidRDefault="00A51521" w:rsidP="00A515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805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Pr="00236805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A51521" w:rsidRDefault="00A51521" w:rsidP="00A515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805">
        <w:rPr>
          <w:rFonts w:ascii="Times New Roman" w:hAnsi="Times New Roman" w:cs="Times New Roman"/>
          <w:sz w:val="28"/>
          <w:szCs w:val="28"/>
        </w:rPr>
        <w:t>Краснозоренский</w:t>
      </w:r>
      <w:proofErr w:type="spellEnd"/>
      <w:r w:rsidRPr="00236805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A51521" w:rsidRDefault="00A51521" w:rsidP="00A515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805">
        <w:rPr>
          <w:rFonts w:ascii="Times New Roman" w:hAnsi="Times New Roman" w:cs="Times New Roman"/>
          <w:sz w:val="28"/>
          <w:szCs w:val="28"/>
        </w:rPr>
        <w:t>Кромской</w:t>
      </w:r>
      <w:proofErr w:type="spellEnd"/>
      <w:r w:rsidRPr="00236805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A51521" w:rsidRDefault="00A51521" w:rsidP="00A515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805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Pr="00236805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A51521" w:rsidRDefault="00A51521" w:rsidP="00A515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805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Pr="00236805">
        <w:rPr>
          <w:rFonts w:ascii="Times New Roman" w:hAnsi="Times New Roman" w:cs="Times New Roman"/>
          <w:sz w:val="28"/>
          <w:szCs w:val="28"/>
        </w:rPr>
        <w:t xml:space="preserve"> район (в </w:t>
      </w:r>
      <w:proofErr w:type="spellStart"/>
      <w:r w:rsidRPr="0023680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36805">
        <w:rPr>
          <w:rFonts w:ascii="Times New Roman" w:hAnsi="Times New Roman" w:cs="Times New Roman"/>
          <w:sz w:val="28"/>
          <w:szCs w:val="28"/>
        </w:rPr>
        <w:t>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05">
        <w:rPr>
          <w:rFonts w:ascii="Times New Roman" w:hAnsi="Times New Roman" w:cs="Times New Roman"/>
          <w:sz w:val="28"/>
          <w:szCs w:val="28"/>
        </w:rPr>
        <w:t xml:space="preserve">Ливны), </w:t>
      </w:r>
    </w:p>
    <w:p w:rsidR="00A51521" w:rsidRDefault="00A51521" w:rsidP="00A515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805">
        <w:rPr>
          <w:rFonts w:ascii="Times New Roman" w:hAnsi="Times New Roman" w:cs="Times New Roman"/>
          <w:sz w:val="28"/>
          <w:szCs w:val="28"/>
        </w:rPr>
        <w:t>Мценский</w:t>
      </w:r>
      <w:proofErr w:type="spellEnd"/>
      <w:r w:rsidRPr="00236805">
        <w:rPr>
          <w:rFonts w:ascii="Times New Roman" w:hAnsi="Times New Roman" w:cs="Times New Roman"/>
          <w:sz w:val="28"/>
          <w:szCs w:val="28"/>
        </w:rPr>
        <w:t xml:space="preserve"> район (в </w:t>
      </w:r>
      <w:proofErr w:type="spellStart"/>
      <w:r w:rsidRPr="0023680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36805">
        <w:rPr>
          <w:rFonts w:ascii="Times New Roman" w:hAnsi="Times New Roman" w:cs="Times New Roman"/>
          <w:sz w:val="28"/>
          <w:szCs w:val="28"/>
        </w:rPr>
        <w:t xml:space="preserve">. г. Мценск), </w:t>
      </w:r>
    </w:p>
    <w:p w:rsidR="00A51521" w:rsidRDefault="00A51521" w:rsidP="00A515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05">
        <w:rPr>
          <w:rFonts w:ascii="Times New Roman" w:hAnsi="Times New Roman" w:cs="Times New Roman"/>
          <w:sz w:val="28"/>
          <w:szCs w:val="28"/>
        </w:rPr>
        <w:t xml:space="preserve">Орловский район (в т.ч. г. Орел), </w:t>
      </w:r>
    </w:p>
    <w:p w:rsidR="00A51521" w:rsidRDefault="00A51521" w:rsidP="00A515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05">
        <w:rPr>
          <w:rFonts w:ascii="Times New Roman" w:hAnsi="Times New Roman" w:cs="Times New Roman"/>
          <w:sz w:val="28"/>
          <w:szCs w:val="28"/>
        </w:rPr>
        <w:t xml:space="preserve">Покровский район, </w:t>
      </w:r>
    </w:p>
    <w:p w:rsidR="00A51521" w:rsidRDefault="00A51521" w:rsidP="00A515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05">
        <w:rPr>
          <w:rFonts w:ascii="Times New Roman" w:hAnsi="Times New Roman" w:cs="Times New Roman"/>
          <w:sz w:val="28"/>
          <w:szCs w:val="28"/>
        </w:rPr>
        <w:t xml:space="preserve">Свердловский район, </w:t>
      </w:r>
    </w:p>
    <w:p w:rsidR="00A51521" w:rsidRDefault="00A51521" w:rsidP="00A515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805">
        <w:rPr>
          <w:rFonts w:ascii="Times New Roman" w:hAnsi="Times New Roman" w:cs="Times New Roman"/>
          <w:sz w:val="28"/>
          <w:szCs w:val="28"/>
        </w:rPr>
        <w:t>Сосковский</w:t>
      </w:r>
      <w:proofErr w:type="spellEnd"/>
      <w:r w:rsidRPr="00236805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A51521" w:rsidRDefault="00A51521" w:rsidP="00A515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805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236805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A51521" w:rsidRDefault="00A51521" w:rsidP="00A515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05">
        <w:rPr>
          <w:rFonts w:ascii="Times New Roman" w:hAnsi="Times New Roman" w:cs="Times New Roman"/>
          <w:sz w:val="28"/>
          <w:szCs w:val="28"/>
        </w:rPr>
        <w:t xml:space="preserve">Урицкий район, </w:t>
      </w:r>
    </w:p>
    <w:p w:rsidR="00A51521" w:rsidRDefault="00A51521" w:rsidP="00A515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805">
        <w:rPr>
          <w:rFonts w:ascii="Times New Roman" w:hAnsi="Times New Roman" w:cs="Times New Roman"/>
          <w:sz w:val="28"/>
          <w:szCs w:val="28"/>
        </w:rPr>
        <w:t>Хотынецкий</w:t>
      </w:r>
      <w:proofErr w:type="spellEnd"/>
      <w:r w:rsidRPr="00236805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A51521" w:rsidRDefault="00A51521" w:rsidP="00A5152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805">
        <w:rPr>
          <w:rFonts w:ascii="Times New Roman" w:hAnsi="Times New Roman" w:cs="Times New Roman"/>
          <w:sz w:val="28"/>
          <w:szCs w:val="28"/>
        </w:rPr>
        <w:t>Шаблыкинский</w:t>
      </w:r>
      <w:proofErr w:type="spellEnd"/>
      <w:r w:rsidRPr="00236805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A51521" w:rsidRDefault="00A51521" w:rsidP="00A5152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05">
        <w:rPr>
          <w:rFonts w:ascii="Times New Roman" w:hAnsi="Times New Roman" w:cs="Times New Roman"/>
          <w:sz w:val="28"/>
          <w:szCs w:val="28"/>
        </w:rPr>
        <w:t xml:space="preserve">Несколько муниципальных образований объединены в три локальных рынка: </w:t>
      </w:r>
    </w:p>
    <w:p w:rsidR="00A51521" w:rsidRDefault="00A51521" w:rsidP="00A515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805">
        <w:rPr>
          <w:rFonts w:ascii="Times New Roman" w:hAnsi="Times New Roman" w:cs="Times New Roman"/>
          <w:sz w:val="28"/>
          <w:szCs w:val="28"/>
        </w:rPr>
        <w:t xml:space="preserve">локальный рынок </w:t>
      </w:r>
      <w:proofErr w:type="spellStart"/>
      <w:r w:rsidRPr="00236805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2368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6805">
        <w:rPr>
          <w:rFonts w:ascii="Times New Roman" w:hAnsi="Times New Roman" w:cs="Times New Roman"/>
          <w:sz w:val="28"/>
          <w:szCs w:val="28"/>
        </w:rPr>
        <w:t>Новодеревеньковский</w:t>
      </w:r>
      <w:proofErr w:type="spellEnd"/>
      <w:r w:rsidRPr="00236805">
        <w:rPr>
          <w:rFonts w:ascii="Times New Roman" w:hAnsi="Times New Roman" w:cs="Times New Roman"/>
          <w:sz w:val="28"/>
          <w:szCs w:val="28"/>
        </w:rPr>
        <w:t xml:space="preserve"> районы;</w:t>
      </w:r>
    </w:p>
    <w:p w:rsidR="00A51521" w:rsidRDefault="00A51521" w:rsidP="00A515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805">
        <w:rPr>
          <w:rFonts w:ascii="Times New Roman" w:hAnsi="Times New Roman" w:cs="Times New Roman"/>
          <w:sz w:val="28"/>
          <w:szCs w:val="28"/>
        </w:rPr>
        <w:t xml:space="preserve">локальный рынок </w:t>
      </w:r>
      <w:proofErr w:type="spellStart"/>
      <w:r w:rsidRPr="00236805">
        <w:rPr>
          <w:rFonts w:ascii="Times New Roman" w:hAnsi="Times New Roman" w:cs="Times New Roman"/>
          <w:sz w:val="28"/>
          <w:szCs w:val="28"/>
        </w:rPr>
        <w:t>Глазуновский</w:t>
      </w:r>
      <w:proofErr w:type="spellEnd"/>
      <w:r w:rsidRPr="002368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6805"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 w:rsidRPr="00236805">
        <w:rPr>
          <w:rFonts w:ascii="Times New Roman" w:hAnsi="Times New Roman" w:cs="Times New Roman"/>
          <w:sz w:val="28"/>
          <w:szCs w:val="28"/>
        </w:rPr>
        <w:t xml:space="preserve"> районы;</w:t>
      </w:r>
    </w:p>
    <w:p w:rsidR="00A51521" w:rsidRDefault="00A51521" w:rsidP="00A515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805">
        <w:rPr>
          <w:rFonts w:ascii="Times New Roman" w:hAnsi="Times New Roman" w:cs="Times New Roman"/>
          <w:sz w:val="28"/>
          <w:szCs w:val="28"/>
        </w:rPr>
        <w:t xml:space="preserve">локальный рынок </w:t>
      </w:r>
      <w:proofErr w:type="spellStart"/>
      <w:r w:rsidRPr="00236805">
        <w:rPr>
          <w:rFonts w:ascii="Times New Roman" w:hAnsi="Times New Roman" w:cs="Times New Roman"/>
          <w:sz w:val="28"/>
          <w:szCs w:val="28"/>
        </w:rPr>
        <w:t>Залегощенский</w:t>
      </w:r>
      <w:proofErr w:type="spellEnd"/>
      <w:r w:rsidRPr="002368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6805">
        <w:rPr>
          <w:rFonts w:ascii="Times New Roman" w:hAnsi="Times New Roman" w:cs="Times New Roman"/>
          <w:sz w:val="28"/>
          <w:szCs w:val="28"/>
        </w:rPr>
        <w:t>Новосильский</w:t>
      </w:r>
      <w:proofErr w:type="spellEnd"/>
      <w:r w:rsidRPr="00236805">
        <w:rPr>
          <w:rFonts w:ascii="Times New Roman" w:hAnsi="Times New Roman" w:cs="Times New Roman"/>
          <w:sz w:val="28"/>
          <w:szCs w:val="28"/>
        </w:rPr>
        <w:t xml:space="preserve"> районы. </w:t>
      </w:r>
    </w:p>
    <w:p w:rsidR="00A51521" w:rsidRPr="00236805" w:rsidRDefault="00A51521" w:rsidP="00A5152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05">
        <w:rPr>
          <w:rFonts w:ascii="Times New Roman" w:hAnsi="Times New Roman" w:cs="Times New Roman"/>
          <w:sz w:val="28"/>
          <w:szCs w:val="28"/>
        </w:rPr>
        <w:t xml:space="preserve">Таким образом, на территории Орловской области в анализируемом периоде функционировал  21 локальный рынок </w:t>
      </w:r>
      <w:r>
        <w:rPr>
          <w:rFonts w:ascii="Times New Roman" w:hAnsi="Times New Roman" w:cs="Times New Roman"/>
          <w:sz w:val="28"/>
          <w:szCs w:val="28"/>
        </w:rPr>
        <w:t>дизельного топлива</w:t>
      </w:r>
      <w:r w:rsidRPr="00236805">
        <w:rPr>
          <w:rFonts w:ascii="Times New Roman" w:hAnsi="Times New Roman" w:cs="Times New Roman"/>
          <w:sz w:val="28"/>
          <w:szCs w:val="28"/>
        </w:rPr>
        <w:t>, определенных с учетом возможности (целесообразности) приобретения потребителями моторного топлива, не неся при этом дополнительных затрат.</w:t>
      </w:r>
    </w:p>
    <w:p w:rsidR="00A51521" w:rsidRDefault="00A51521" w:rsidP="00A5152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Перечни хозяйствующих субъектов – продавцов, на каждом из локальных розничных рынков дизельного топлива, приведены </w:t>
      </w:r>
      <w:r w:rsidRPr="008B787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 приложении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 к аналитическому отчету. </w:t>
      </w:r>
    </w:p>
    <w:p w:rsidR="00C877BE" w:rsidRPr="00923F8F" w:rsidRDefault="00C877BE" w:rsidP="00C262FB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0B84" w:rsidRPr="00F60B84" w:rsidRDefault="00A51521" w:rsidP="00F60B8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877BE" w:rsidRPr="00F60B84">
        <w:rPr>
          <w:rFonts w:ascii="Times New Roman" w:hAnsi="Times New Roman" w:cs="Times New Roman"/>
          <w:b/>
          <w:sz w:val="28"/>
          <w:szCs w:val="28"/>
        </w:rPr>
        <w:t xml:space="preserve">бъем товарного рынка и доли хозяйствующих субъектов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товарном </w:t>
      </w:r>
      <w:r w:rsidR="00C877BE" w:rsidRPr="00F60B84">
        <w:rPr>
          <w:rFonts w:ascii="Times New Roman" w:hAnsi="Times New Roman" w:cs="Times New Roman"/>
          <w:b/>
          <w:sz w:val="28"/>
          <w:szCs w:val="28"/>
        </w:rPr>
        <w:t>рынке</w:t>
      </w:r>
      <w:r>
        <w:rPr>
          <w:rFonts w:ascii="Times New Roman" w:hAnsi="Times New Roman" w:cs="Times New Roman"/>
          <w:b/>
          <w:sz w:val="28"/>
          <w:szCs w:val="28"/>
        </w:rPr>
        <w:t xml:space="preserve"> дизельного топлива</w:t>
      </w:r>
    </w:p>
    <w:p w:rsidR="00C877BE" w:rsidRDefault="007D2FDD" w:rsidP="007142C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VI Порядка в качестве основного показателя  для расчета объема товарного рынка и долей хозяйствующих субъектов на розничном рынке </w:t>
      </w:r>
      <w:r w:rsidR="00526C0A">
        <w:rPr>
          <w:rFonts w:ascii="Times New Roman" w:hAnsi="Times New Roman" w:cs="Times New Roman"/>
          <w:sz w:val="28"/>
          <w:szCs w:val="28"/>
        </w:rPr>
        <w:t>дизельного топлива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 объем продаж в натуральном выражении (литры)</w:t>
      </w:r>
      <w:r w:rsidR="007142C4">
        <w:rPr>
          <w:rFonts w:ascii="Times New Roman" w:hAnsi="Times New Roman" w:cs="Times New Roman"/>
          <w:sz w:val="28"/>
          <w:szCs w:val="28"/>
        </w:rPr>
        <w:t>.</w:t>
      </w:r>
    </w:p>
    <w:p w:rsidR="007142C4" w:rsidRDefault="007142C4" w:rsidP="007142C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товарного рынка определялся как сумма объемов продаж </w:t>
      </w:r>
      <w:r w:rsidR="00526C0A">
        <w:rPr>
          <w:rFonts w:ascii="Times New Roman" w:hAnsi="Times New Roman" w:cs="Times New Roman"/>
          <w:sz w:val="28"/>
          <w:szCs w:val="28"/>
        </w:rPr>
        <w:t>дизельного топлива</w:t>
      </w:r>
      <w:r>
        <w:rPr>
          <w:rFonts w:ascii="Times New Roman" w:hAnsi="Times New Roman" w:cs="Times New Roman"/>
          <w:sz w:val="28"/>
          <w:szCs w:val="28"/>
        </w:rPr>
        <w:t xml:space="preserve"> хозяйствующими субъектами, действующими на рассматриваемом товарном рынке</w:t>
      </w:r>
      <w:r w:rsidR="008E5802">
        <w:rPr>
          <w:rFonts w:ascii="Times New Roman" w:hAnsi="Times New Roman" w:cs="Times New Roman"/>
          <w:sz w:val="28"/>
          <w:szCs w:val="28"/>
        </w:rPr>
        <w:t xml:space="preserve"> в пределах установленных географических границ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2C4" w:rsidRDefault="007142C4" w:rsidP="007142C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товарного рынка  и доли хозяйствующих субъектов рассчитаны для каждого из рынков розничной реализации </w:t>
      </w:r>
      <w:r w:rsidR="00526C0A">
        <w:rPr>
          <w:rFonts w:ascii="Times New Roman" w:hAnsi="Times New Roman" w:cs="Times New Roman"/>
          <w:sz w:val="28"/>
          <w:szCs w:val="28"/>
        </w:rPr>
        <w:t>дизельного топлива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установленным для них продуктовым границам.</w:t>
      </w:r>
    </w:p>
    <w:p w:rsidR="00735424" w:rsidRDefault="00735424" w:rsidP="007142C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хозяйствующего субъекта на розничном рынке </w:t>
      </w:r>
      <w:r w:rsidR="00526C0A">
        <w:rPr>
          <w:rFonts w:ascii="Times New Roman" w:hAnsi="Times New Roman" w:cs="Times New Roman"/>
          <w:sz w:val="28"/>
          <w:szCs w:val="28"/>
        </w:rPr>
        <w:t>дизельного топлива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как выраженное в процентах отношение показателя, характеризующего объем товарной массы, реализуемой данным хозяйствующим субъектом на исследуемый товарный рынок, к показателю, характеризующему объем рассматриваемого товарного рынка.</w:t>
      </w:r>
    </w:p>
    <w:p w:rsidR="00B2686A" w:rsidRDefault="00B2686A" w:rsidP="00B2686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регионального розничного рынка дизельного топлива, а также доли хозяйствующих субъектов на этом рынке приведены в </w:t>
      </w:r>
      <w:r w:rsidR="006A784B" w:rsidRPr="00D831D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</w:t>
      </w:r>
      <w:r w:rsidRPr="0048633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риложении </w:t>
      </w:r>
      <w:r w:rsidR="0050367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503676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аналитическому отчету.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686A" w:rsidRPr="0048360B" w:rsidRDefault="00B2686A" w:rsidP="00B2686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расчетов долей хозяйствующих субъектов на каждом розничном локальном рынке дизельного топлива приведены </w:t>
      </w:r>
      <w:r w:rsidRPr="00DE6C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в </w:t>
      </w:r>
      <w:r w:rsidR="006A784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</w:t>
      </w:r>
      <w:r w:rsidRPr="00DE6C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риложении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50367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к </w:t>
      </w:r>
      <w:r w:rsidR="00503676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аналитическому отчету. </w:t>
      </w:r>
    </w:p>
    <w:p w:rsidR="001A7933" w:rsidRDefault="001A7933" w:rsidP="00AC129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B84" w:rsidRPr="00F60B84" w:rsidRDefault="00F646F9" w:rsidP="00F60B8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84">
        <w:rPr>
          <w:rFonts w:ascii="Times New Roman" w:hAnsi="Times New Roman" w:cs="Times New Roman"/>
          <w:b/>
          <w:sz w:val="28"/>
          <w:szCs w:val="28"/>
        </w:rPr>
        <w:t>Уровень концентрации товарного рынка</w:t>
      </w:r>
    </w:p>
    <w:p w:rsidR="00F646F9" w:rsidRDefault="00262B38" w:rsidP="00262B38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уровня концентрации товарного рынка используются следующие показатели:</w:t>
      </w:r>
    </w:p>
    <w:p w:rsidR="00262B38" w:rsidRDefault="00262B38" w:rsidP="00262B3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рыночной концентрации CR</w:t>
      </w:r>
      <w:r w:rsidRPr="00262B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сумма долей на товарном рынке (выраженная в процентах) для трех крупнейших хозяйствующих субъектов, действующих на рынке;</w:t>
      </w:r>
    </w:p>
    <w:p w:rsidR="00262B38" w:rsidRDefault="00262B38" w:rsidP="00A66D4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рыночной концентрации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Герфиндаля-Гиршмана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HHI – сумма квадратов долей (выраженных в процентах) на товарном рынке всех хозяйствующих субъектов, действующих на данном рынке.</w:t>
      </w:r>
    </w:p>
    <w:p w:rsidR="00262B38" w:rsidRDefault="00B673B0" w:rsidP="00314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рыночной концентрации</w:t>
      </w:r>
      <w:r w:rsidR="00503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рассчита</w:t>
      </w:r>
      <w:r w:rsidR="005036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D831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7.1 Порядка</w:t>
      </w:r>
      <w:r w:rsidR="00503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6A784B" w:rsidRPr="006A784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</w:t>
      </w:r>
      <w:r w:rsidR="009A1DA1">
        <w:rPr>
          <w:rFonts w:ascii="Times New Roman" w:hAnsi="Times New Roman" w:cs="Times New Roman"/>
          <w:color w:val="4F81BD" w:themeColor="accent1"/>
          <w:sz w:val="28"/>
          <w:szCs w:val="28"/>
        </w:rPr>
        <w:t>риложении</w:t>
      </w:r>
      <w:r w:rsidRPr="002E1BA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03676">
        <w:rPr>
          <w:rFonts w:ascii="Times New Roman" w:hAnsi="Times New Roman" w:cs="Times New Roman"/>
          <w:color w:val="4F81BD" w:themeColor="accent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DA1">
        <w:rPr>
          <w:rFonts w:ascii="Times New Roman" w:hAnsi="Times New Roman" w:cs="Times New Roman"/>
          <w:sz w:val="28"/>
          <w:szCs w:val="28"/>
        </w:rPr>
        <w:t xml:space="preserve">к </w:t>
      </w:r>
      <w:r w:rsidR="0050367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A1DA1">
        <w:rPr>
          <w:rFonts w:ascii="Times New Roman" w:hAnsi="Times New Roman" w:cs="Times New Roman"/>
          <w:sz w:val="28"/>
          <w:szCs w:val="28"/>
        </w:rPr>
        <w:t>аналитическому отчету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DA1" w:rsidRDefault="009A1DA1" w:rsidP="009A1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3B7">
        <w:rPr>
          <w:rFonts w:ascii="Times New Roman" w:hAnsi="Times New Roman" w:cs="Times New Roman"/>
          <w:sz w:val="28"/>
          <w:szCs w:val="28"/>
        </w:rPr>
        <w:t xml:space="preserve">Из приведенных данных следует, что </w:t>
      </w:r>
      <w:r w:rsidR="00A51521">
        <w:rPr>
          <w:rFonts w:ascii="Times New Roman" w:hAnsi="Times New Roman" w:cs="Times New Roman"/>
          <w:sz w:val="28"/>
          <w:szCs w:val="28"/>
        </w:rPr>
        <w:t xml:space="preserve">рассматриваемый товарный рынок относится к товарному рынку с высоким уровнем концентрации </w:t>
      </w:r>
    </w:p>
    <w:p w:rsidR="00314A2D" w:rsidRPr="00A51521" w:rsidRDefault="00314A2D" w:rsidP="00314A2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70% &lt;</w:t>
      </w:r>
      <w:r w:rsidRPr="00720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CR3</w:t>
      </w:r>
      <w:r w:rsidR="00FB5297">
        <w:rPr>
          <w:rFonts w:ascii="Times New Roman" w:hAnsi="Times New Roman" w:cs="Times New Roman"/>
          <w:sz w:val="28"/>
          <w:szCs w:val="28"/>
        </w:rPr>
        <w:t>=</w:t>
      </w:r>
      <w:r w:rsidR="00A51521" w:rsidRPr="00A51521">
        <w:rPr>
          <w:rFonts w:ascii="Times New Roman" w:hAnsi="Times New Roman" w:cs="Times New Roman"/>
          <w:sz w:val="28"/>
          <w:szCs w:val="28"/>
        </w:rPr>
        <w:t>92,98</w:t>
      </w:r>
      <w:r w:rsidRPr="00A51521">
        <w:rPr>
          <w:rFonts w:ascii="Times New Roman" w:hAnsi="Times New Roman" w:cs="Times New Roman"/>
          <w:sz w:val="28"/>
          <w:szCs w:val="28"/>
        </w:rPr>
        <w:t xml:space="preserve"> &lt; 100%</w:t>
      </w:r>
    </w:p>
    <w:p w:rsidR="00314A2D" w:rsidRDefault="00314A2D" w:rsidP="00314A2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51521">
        <w:rPr>
          <w:rFonts w:ascii="Times New Roman" w:hAnsi="Times New Roman" w:cs="Times New Roman"/>
          <w:sz w:val="28"/>
          <w:szCs w:val="28"/>
        </w:rPr>
        <w:t xml:space="preserve"> 2000 &lt; </w:t>
      </w:r>
      <w:r w:rsidRPr="00A51521">
        <w:rPr>
          <w:rFonts w:ascii="Times New Roman" w:hAnsi="Times New Roman" w:cs="Times New Roman"/>
          <w:sz w:val="28"/>
          <w:szCs w:val="28"/>
          <w:lang w:val="en-US"/>
        </w:rPr>
        <w:t>HHI</w:t>
      </w:r>
      <w:r w:rsidR="00FB5297" w:rsidRPr="00A51521">
        <w:rPr>
          <w:rFonts w:ascii="Times New Roman" w:hAnsi="Times New Roman" w:cs="Times New Roman"/>
          <w:sz w:val="28"/>
          <w:szCs w:val="28"/>
        </w:rPr>
        <w:t>=</w:t>
      </w:r>
      <w:r w:rsidR="00A51521" w:rsidRPr="00A51521">
        <w:rPr>
          <w:rFonts w:ascii="Times New Roman" w:hAnsi="Times New Roman" w:cs="Times New Roman"/>
          <w:sz w:val="28"/>
          <w:szCs w:val="28"/>
        </w:rPr>
        <w:t>4761</w:t>
      </w:r>
      <w:r w:rsidRPr="00720CCA">
        <w:rPr>
          <w:rFonts w:ascii="Times New Roman" w:hAnsi="Times New Roman" w:cs="Times New Roman"/>
          <w:sz w:val="28"/>
          <w:szCs w:val="28"/>
        </w:rPr>
        <w:t xml:space="preserve"> &lt; 10000</w:t>
      </w:r>
    </w:p>
    <w:p w:rsidR="009A1DA1" w:rsidRPr="0048360B" w:rsidRDefault="009A1DA1" w:rsidP="009A1DA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расчетов показателей концентрации каждого из исследованных розничных локальных рынков дизельного топлива приведены </w:t>
      </w:r>
      <w:r w:rsidRPr="0087011D">
        <w:rPr>
          <w:rFonts w:ascii="Times New Roman" w:hAnsi="Times New Roman" w:cs="Times New Roman"/>
          <w:sz w:val="28"/>
          <w:szCs w:val="28"/>
        </w:rPr>
        <w:t>в</w:t>
      </w:r>
      <w:r w:rsidRPr="00DE6C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6A784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</w:t>
      </w:r>
      <w:r w:rsidRPr="00DE6C4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риложении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50367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анали</w:t>
      </w:r>
      <w:r w:rsidR="00503676">
        <w:rPr>
          <w:rFonts w:ascii="Times New Roman" w:hAnsi="Times New Roman" w:cs="Times New Roman"/>
          <w:sz w:val="28"/>
          <w:szCs w:val="28"/>
        </w:rPr>
        <w:t>тическому отчету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DA1" w:rsidRPr="009A1DA1" w:rsidRDefault="009A1DA1" w:rsidP="009A1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B84" w:rsidRPr="00F60B84" w:rsidRDefault="0020210C" w:rsidP="00F60B8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84">
        <w:rPr>
          <w:rFonts w:ascii="Times New Roman" w:hAnsi="Times New Roman" w:cs="Times New Roman"/>
          <w:b/>
          <w:sz w:val="28"/>
          <w:szCs w:val="28"/>
        </w:rPr>
        <w:lastRenderedPageBreak/>
        <w:t>Барьеры входа на товарный рынок</w:t>
      </w:r>
    </w:p>
    <w:p w:rsidR="0020210C" w:rsidRDefault="007E1490" w:rsidP="00490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144EC">
        <w:rPr>
          <w:rFonts w:ascii="Times New Roman" w:hAnsi="Times New Roman" w:cs="Times New Roman"/>
          <w:sz w:val="28"/>
          <w:szCs w:val="28"/>
        </w:rPr>
        <w:t xml:space="preserve">Основными барьерами для входа на розничный рынок </w:t>
      </w:r>
      <w:r w:rsidR="00FB5297">
        <w:rPr>
          <w:rFonts w:ascii="Times New Roman" w:hAnsi="Times New Roman" w:cs="Times New Roman"/>
          <w:sz w:val="28"/>
          <w:szCs w:val="28"/>
        </w:rPr>
        <w:t>дизельного топлива</w:t>
      </w:r>
      <w:r w:rsidR="00F144EC">
        <w:rPr>
          <w:rFonts w:ascii="Times New Roman" w:hAnsi="Times New Roman" w:cs="Times New Roman"/>
          <w:sz w:val="28"/>
          <w:szCs w:val="28"/>
        </w:rPr>
        <w:t xml:space="preserve"> новых хозяйствующих субъектов являются: значительные материальные затраты на строительство и эксплуатацию автозаправочных станций, административные процедуры выделения и оформления земельного участка под строительство АЗС, процедуры связанные с соблюдением природоохранных и противопожарных требований. </w:t>
      </w:r>
    </w:p>
    <w:p w:rsidR="009A1DA1" w:rsidRDefault="009A1DA1" w:rsidP="009A1D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количественный анализ динамики числа хозяйствующих субъектов – участников розничных рынков нефтепродуктов показывает, что уход с рынка хозяйствующих субъектов сопровождается приходом на рынок эквивалентного числа новых хозяйствующих субъектов. При этом число функционирующих на рынке АЗС остается практически неизменным. </w:t>
      </w:r>
    </w:p>
    <w:p w:rsidR="009A1DA1" w:rsidRPr="00D215FD" w:rsidRDefault="009A1DA1" w:rsidP="009A1D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среди действующих на товарном рынке хозяйствующих субъектов нескольких предприятий, входящих в ВИНК, не создает каких-либо заметных ограничений для входа на рынок независимых продавцов.</w:t>
      </w:r>
    </w:p>
    <w:p w:rsidR="0020210C" w:rsidRDefault="0020210C" w:rsidP="0020210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анализа административных барьеров, препятствующих розничным продавцам приобретать нефтепродукты (</w:t>
      </w:r>
      <w:r w:rsidR="00FB5297">
        <w:rPr>
          <w:rFonts w:ascii="Times New Roman" w:hAnsi="Times New Roman" w:cs="Times New Roman"/>
          <w:sz w:val="28"/>
          <w:szCs w:val="28"/>
        </w:rPr>
        <w:t>дизельное топливо</w:t>
      </w:r>
      <w:r>
        <w:rPr>
          <w:rFonts w:ascii="Times New Roman" w:hAnsi="Times New Roman" w:cs="Times New Roman"/>
          <w:sz w:val="28"/>
          <w:szCs w:val="28"/>
        </w:rPr>
        <w:t xml:space="preserve">) в различных регионах Российской Федерации, не выявлено. Нефтепродукты в область поставляются автомобильным, железнодорожным транспортом и с использованием трубопровода. </w:t>
      </w:r>
    </w:p>
    <w:p w:rsidR="00D831D3" w:rsidRDefault="00D831D3" w:rsidP="0020210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0B84" w:rsidRDefault="0077694A" w:rsidP="00F60B8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84">
        <w:rPr>
          <w:rFonts w:ascii="Times New Roman" w:hAnsi="Times New Roman" w:cs="Times New Roman"/>
          <w:b/>
          <w:sz w:val="28"/>
          <w:szCs w:val="28"/>
        </w:rPr>
        <w:t>Оценка состояния конкуренции на товарном рынке</w:t>
      </w:r>
    </w:p>
    <w:p w:rsidR="00B673B0" w:rsidRDefault="00B673B0" w:rsidP="0074487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исследования рынка установлено следующее.</w:t>
      </w:r>
    </w:p>
    <w:p w:rsidR="009A1DA1" w:rsidRPr="000267F6" w:rsidRDefault="009A1DA1" w:rsidP="009A1DA1">
      <w:pPr>
        <w:pStyle w:val="a3"/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7F6">
        <w:rPr>
          <w:rFonts w:ascii="Times New Roman" w:hAnsi="Times New Roman" w:cs="Times New Roman"/>
          <w:sz w:val="28"/>
          <w:szCs w:val="28"/>
        </w:rPr>
        <w:t xml:space="preserve">На региональном розничном рынке </w:t>
      </w:r>
      <w:r w:rsidR="00552086">
        <w:rPr>
          <w:rFonts w:ascii="Times New Roman" w:hAnsi="Times New Roman" w:cs="Times New Roman"/>
          <w:sz w:val="28"/>
          <w:szCs w:val="28"/>
        </w:rPr>
        <w:t>дизельного топлива</w:t>
      </w:r>
      <w:r w:rsidRPr="000267F6">
        <w:rPr>
          <w:rFonts w:ascii="Times New Roman" w:hAnsi="Times New Roman" w:cs="Times New Roman"/>
          <w:sz w:val="28"/>
          <w:szCs w:val="28"/>
        </w:rPr>
        <w:t xml:space="preserve"> присутствуют как «сильные игроки», владеющие широкой сетью АЗС, так и достаточно большое количество независимых трейдеров, владеющих одной-двумя автозаправочными станциями.</w:t>
      </w:r>
    </w:p>
    <w:p w:rsidR="00552086" w:rsidRPr="000267F6" w:rsidRDefault="00A05535" w:rsidP="0055208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2086" w:rsidRPr="000267F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552086">
        <w:rPr>
          <w:rFonts w:ascii="Times New Roman" w:hAnsi="Times New Roman" w:cs="Times New Roman"/>
          <w:sz w:val="28"/>
          <w:szCs w:val="28"/>
        </w:rPr>
        <w:t xml:space="preserve">розничном </w:t>
      </w:r>
      <w:r w:rsidR="00552086" w:rsidRPr="000267F6">
        <w:rPr>
          <w:rFonts w:ascii="Times New Roman" w:hAnsi="Times New Roman" w:cs="Times New Roman"/>
          <w:sz w:val="28"/>
          <w:szCs w:val="28"/>
        </w:rPr>
        <w:t xml:space="preserve">рынке </w:t>
      </w:r>
      <w:r w:rsidR="00552086">
        <w:rPr>
          <w:rFonts w:ascii="Times New Roman" w:hAnsi="Times New Roman" w:cs="Times New Roman"/>
          <w:sz w:val="28"/>
          <w:szCs w:val="28"/>
        </w:rPr>
        <w:t xml:space="preserve">нефтепродуктов, в т.ч. дизельного топлива, </w:t>
      </w:r>
      <w:r w:rsidR="00552086" w:rsidRPr="000267F6">
        <w:rPr>
          <w:rFonts w:ascii="Times New Roman" w:hAnsi="Times New Roman" w:cs="Times New Roman"/>
          <w:sz w:val="28"/>
          <w:szCs w:val="28"/>
        </w:rPr>
        <w:t xml:space="preserve">в рассматриваемом периоде присутствовали две ВИНК: Роснефть  </w:t>
      </w:r>
      <w:r w:rsidR="00552086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</w:rPr>
        <w:t>6</w:t>
      </w:r>
      <w:r w:rsidR="00552086">
        <w:rPr>
          <w:rFonts w:ascii="Times New Roman" w:hAnsi="Times New Roman" w:cs="Times New Roman"/>
          <w:sz w:val="28"/>
          <w:szCs w:val="28"/>
        </w:rPr>
        <w:t xml:space="preserve"> АЗК/АЗС) </w:t>
      </w:r>
      <w:r w:rsidR="00552086" w:rsidRPr="000267F6">
        <w:rPr>
          <w:rFonts w:ascii="Times New Roman" w:hAnsi="Times New Roman" w:cs="Times New Roman"/>
          <w:sz w:val="28"/>
          <w:szCs w:val="28"/>
        </w:rPr>
        <w:t>и Газпром</w:t>
      </w:r>
      <w:r>
        <w:rPr>
          <w:rFonts w:ascii="Times New Roman" w:hAnsi="Times New Roman" w:cs="Times New Roman"/>
          <w:sz w:val="28"/>
          <w:szCs w:val="28"/>
        </w:rPr>
        <w:t xml:space="preserve"> нефть</w:t>
      </w:r>
      <w:r w:rsidR="00552086">
        <w:rPr>
          <w:rFonts w:ascii="Times New Roman" w:hAnsi="Times New Roman" w:cs="Times New Roman"/>
          <w:sz w:val="28"/>
          <w:szCs w:val="28"/>
        </w:rPr>
        <w:t xml:space="preserve"> (16 АЗС)</w:t>
      </w:r>
      <w:r w:rsidR="00552086" w:rsidRPr="000267F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52086" w:rsidRDefault="00552086" w:rsidP="0055208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67F6">
        <w:rPr>
          <w:rFonts w:ascii="Times New Roman" w:hAnsi="Times New Roman" w:cs="Times New Roman"/>
          <w:sz w:val="28"/>
          <w:szCs w:val="28"/>
        </w:rPr>
        <w:t xml:space="preserve">оложение той или иной нефтяной компании на рынке Орловской области, 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r w:rsidRPr="000267F6">
        <w:rPr>
          <w:rFonts w:ascii="Times New Roman" w:hAnsi="Times New Roman" w:cs="Times New Roman"/>
          <w:sz w:val="28"/>
          <w:szCs w:val="28"/>
        </w:rPr>
        <w:t>, что доля хозяйствующ</w:t>
      </w:r>
      <w:r w:rsidR="00797FC7">
        <w:rPr>
          <w:rFonts w:ascii="Times New Roman" w:hAnsi="Times New Roman" w:cs="Times New Roman"/>
          <w:sz w:val="28"/>
          <w:szCs w:val="28"/>
        </w:rPr>
        <w:t>его</w:t>
      </w:r>
      <w:r w:rsidRPr="000267F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97FC7">
        <w:rPr>
          <w:rFonts w:ascii="Times New Roman" w:hAnsi="Times New Roman" w:cs="Times New Roman"/>
          <w:sz w:val="28"/>
          <w:szCs w:val="28"/>
        </w:rPr>
        <w:t>а</w:t>
      </w:r>
      <w:r w:rsidRPr="000267F6">
        <w:rPr>
          <w:rFonts w:ascii="Times New Roman" w:hAnsi="Times New Roman" w:cs="Times New Roman"/>
          <w:sz w:val="28"/>
          <w:szCs w:val="28"/>
        </w:rPr>
        <w:t>, входящ</w:t>
      </w:r>
      <w:r w:rsidR="00797FC7">
        <w:rPr>
          <w:rFonts w:ascii="Times New Roman" w:hAnsi="Times New Roman" w:cs="Times New Roman"/>
          <w:sz w:val="28"/>
          <w:szCs w:val="28"/>
        </w:rPr>
        <w:t>его</w:t>
      </w:r>
      <w:r w:rsidRPr="000267F6">
        <w:rPr>
          <w:rFonts w:ascii="Times New Roman" w:hAnsi="Times New Roman" w:cs="Times New Roman"/>
          <w:sz w:val="28"/>
          <w:szCs w:val="28"/>
        </w:rPr>
        <w:t xml:space="preserve"> в группу лиц </w:t>
      </w:r>
      <w:r w:rsidR="00797FC7">
        <w:rPr>
          <w:rFonts w:ascii="Times New Roman" w:hAnsi="Times New Roman" w:cs="Times New Roman"/>
          <w:sz w:val="28"/>
          <w:szCs w:val="28"/>
        </w:rPr>
        <w:t>П</w:t>
      </w:r>
      <w:r w:rsidRPr="000267F6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7F6">
        <w:rPr>
          <w:rFonts w:ascii="Times New Roman" w:hAnsi="Times New Roman" w:cs="Times New Roman"/>
          <w:sz w:val="28"/>
          <w:szCs w:val="28"/>
        </w:rPr>
        <w:t>НК «Роснефть»</w:t>
      </w:r>
      <w:r w:rsidR="00797FC7">
        <w:rPr>
          <w:rFonts w:ascii="Times New Roman" w:hAnsi="Times New Roman" w:cs="Times New Roman"/>
          <w:sz w:val="28"/>
          <w:szCs w:val="28"/>
        </w:rPr>
        <w:t xml:space="preserve"> - АО «</w:t>
      </w:r>
      <w:proofErr w:type="spellStart"/>
      <w:r w:rsidR="00797FC7">
        <w:rPr>
          <w:rFonts w:ascii="Times New Roman" w:hAnsi="Times New Roman" w:cs="Times New Roman"/>
          <w:sz w:val="28"/>
          <w:szCs w:val="28"/>
        </w:rPr>
        <w:t>Орелнефтепродукт</w:t>
      </w:r>
      <w:proofErr w:type="spellEnd"/>
      <w:r w:rsidR="00797FC7">
        <w:rPr>
          <w:rFonts w:ascii="Times New Roman" w:hAnsi="Times New Roman" w:cs="Times New Roman"/>
          <w:sz w:val="28"/>
          <w:szCs w:val="28"/>
        </w:rPr>
        <w:t>»</w:t>
      </w:r>
      <w:r w:rsidRPr="000267F6">
        <w:rPr>
          <w:rFonts w:ascii="Times New Roman" w:hAnsi="Times New Roman" w:cs="Times New Roman"/>
          <w:sz w:val="28"/>
          <w:szCs w:val="28"/>
        </w:rPr>
        <w:t xml:space="preserve">, составила </w:t>
      </w:r>
      <w:r w:rsidR="00490766" w:rsidRPr="00490766">
        <w:rPr>
          <w:rFonts w:ascii="Times New Roman" w:hAnsi="Times New Roman" w:cs="Times New Roman"/>
          <w:sz w:val="28"/>
          <w:szCs w:val="28"/>
        </w:rPr>
        <w:t>&lt;</w:t>
      </w:r>
      <w:r w:rsidR="00490766">
        <w:rPr>
          <w:rFonts w:ascii="Times New Roman" w:hAnsi="Times New Roman" w:cs="Times New Roman"/>
          <w:sz w:val="28"/>
          <w:szCs w:val="28"/>
        </w:rPr>
        <w:t>…</w:t>
      </w:r>
      <w:r w:rsidR="00490766" w:rsidRPr="00490766">
        <w:rPr>
          <w:rFonts w:ascii="Times New Roman" w:hAnsi="Times New Roman" w:cs="Times New Roman"/>
          <w:sz w:val="28"/>
          <w:szCs w:val="28"/>
        </w:rPr>
        <w:t>&gt;</w:t>
      </w:r>
      <w:r w:rsidRPr="000267F6">
        <w:rPr>
          <w:rFonts w:ascii="Times New Roman" w:hAnsi="Times New Roman" w:cs="Times New Roman"/>
          <w:sz w:val="28"/>
          <w:szCs w:val="28"/>
        </w:rPr>
        <w:t xml:space="preserve">, доля </w:t>
      </w:r>
      <w:r w:rsidR="00797FC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97FC7">
        <w:rPr>
          <w:rFonts w:ascii="Times New Roman" w:hAnsi="Times New Roman" w:cs="Times New Roman"/>
          <w:sz w:val="28"/>
          <w:szCs w:val="28"/>
        </w:rPr>
        <w:t>Газэнергосеть</w:t>
      </w:r>
      <w:proofErr w:type="spellEnd"/>
      <w:r w:rsidR="00797FC7">
        <w:rPr>
          <w:rFonts w:ascii="Times New Roman" w:hAnsi="Times New Roman" w:cs="Times New Roman"/>
          <w:sz w:val="28"/>
          <w:szCs w:val="28"/>
        </w:rPr>
        <w:t xml:space="preserve"> розница, хозяйствующего субъекта, входящего в группу лиц П</w:t>
      </w:r>
      <w:r w:rsidRPr="000267F6">
        <w:rPr>
          <w:rFonts w:ascii="Times New Roman" w:hAnsi="Times New Roman" w:cs="Times New Roman"/>
          <w:sz w:val="28"/>
          <w:szCs w:val="28"/>
        </w:rPr>
        <w:t>АО «Газпром</w:t>
      </w:r>
      <w:r w:rsidR="00797FC7">
        <w:rPr>
          <w:rFonts w:ascii="Times New Roman" w:hAnsi="Times New Roman" w:cs="Times New Roman"/>
          <w:sz w:val="28"/>
          <w:szCs w:val="28"/>
        </w:rPr>
        <w:t xml:space="preserve"> нефть</w:t>
      </w:r>
      <w:r w:rsidRPr="000267F6">
        <w:rPr>
          <w:rFonts w:ascii="Times New Roman" w:hAnsi="Times New Roman" w:cs="Times New Roman"/>
          <w:sz w:val="28"/>
          <w:szCs w:val="28"/>
        </w:rPr>
        <w:t xml:space="preserve">» составила – </w:t>
      </w:r>
      <w:r w:rsidR="00490766" w:rsidRPr="00490766">
        <w:rPr>
          <w:rFonts w:ascii="Times New Roman" w:hAnsi="Times New Roman" w:cs="Times New Roman"/>
          <w:sz w:val="28"/>
          <w:szCs w:val="28"/>
        </w:rPr>
        <w:t>&lt;</w:t>
      </w:r>
      <w:r w:rsidR="00490766">
        <w:rPr>
          <w:rFonts w:ascii="Times New Roman" w:hAnsi="Times New Roman" w:cs="Times New Roman"/>
          <w:sz w:val="28"/>
          <w:szCs w:val="28"/>
        </w:rPr>
        <w:t>…</w:t>
      </w:r>
      <w:r w:rsidR="00490766" w:rsidRPr="00490766">
        <w:rPr>
          <w:rFonts w:ascii="Times New Roman" w:hAnsi="Times New Roman" w:cs="Times New Roman"/>
          <w:sz w:val="28"/>
          <w:szCs w:val="28"/>
        </w:rPr>
        <w:t>&gt;</w:t>
      </w:r>
      <w:r w:rsidRPr="000267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64" w:rsidRDefault="002D3364" w:rsidP="002D336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60B">
        <w:rPr>
          <w:rFonts w:ascii="Times New Roman" w:hAnsi="Times New Roman" w:cs="Times New Roman"/>
          <w:sz w:val="28"/>
          <w:szCs w:val="28"/>
        </w:rPr>
        <w:t xml:space="preserve">Доли розничной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дизельного топлива </w:t>
      </w:r>
      <w:r w:rsidRPr="0048360B">
        <w:rPr>
          <w:rFonts w:ascii="Times New Roman" w:hAnsi="Times New Roman" w:cs="Times New Roman"/>
          <w:sz w:val="28"/>
          <w:szCs w:val="28"/>
        </w:rPr>
        <w:t>остальных участников регионального рынка в общем объеме продаж являются незначительными</w:t>
      </w:r>
      <w:proofErr w:type="gramStart"/>
      <w:r w:rsidR="004907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0766">
        <w:rPr>
          <w:rFonts w:ascii="Times New Roman" w:hAnsi="Times New Roman" w:cs="Times New Roman"/>
          <w:sz w:val="28"/>
          <w:szCs w:val="28"/>
        </w:rPr>
        <w:t xml:space="preserve"> </w:t>
      </w:r>
      <w:r w:rsidRPr="0048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совокупности доля всех независимых участников регионального рынка дизельного топлива составляет около </w:t>
      </w:r>
      <w:r w:rsidR="00797FC7" w:rsidRPr="00797F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%. Ценовая конкуренция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области присутствует между хозяйствующими субъектами</w:t>
      </w:r>
      <w:r w:rsidR="005C47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входящими в ВИНК.</w:t>
      </w:r>
    </w:p>
    <w:p w:rsidR="002D3364" w:rsidRPr="007C0C96" w:rsidRDefault="002D3364" w:rsidP="002D336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C96">
        <w:rPr>
          <w:rFonts w:ascii="Times New Roman" w:hAnsi="Times New Roman" w:cs="Times New Roman"/>
          <w:sz w:val="28"/>
          <w:szCs w:val="28"/>
        </w:rPr>
        <w:t xml:space="preserve">Показатели рыночной концентрации регионального </w:t>
      </w:r>
      <w:r w:rsidR="00A91A09" w:rsidRPr="007C0C96">
        <w:rPr>
          <w:rFonts w:ascii="Times New Roman" w:hAnsi="Times New Roman" w:cs="Times New Roman"/>
          <w:sz w:val="28"/>
          <w:szCs w:val="28"/>
        </w:rPr>
        <w:t xml:space="preserve">розничного </w:t>
      </w:r>
      <w:r w:rsidRPr="007C0C96">
        <w:rPr>
          <w:rFonts w:ascii="Times New Roman" w:hAnsi="Times New Roman" w:cs="Times New Roman"/>
          <w:sz w:val="28"/>
          <w:szCs w:val="28"/>
        </w:rPr>
        <w:t xml:space="preserve">рынка </w:t>
      </w:r>
      <w:r w:rsidR="00FF2D6E">
        <w:rPr>
          <w:rFonts w:ascii="Times New Roman" w:hAnsi="Times New Roman" w:cs="Times New Roman"/>
          <w:sz w:val="28"/>
          <w:szCs w:val="28"/>
        </w:rPr>
        <w:t>дизельного топлива</w:t>
      </w:r>
      <w:r w:rsidRPr="007C0C96">
        <w:rPr>
          <w:rFonts w:ascii="Times New Roman" w:hAnsi="Times New Roman" w:cs="Times New Roman"/>
          <w:sz w:val="24"/>
          <w:szCs w:val="24"/>
        </w:rPr>
        <w:t xml:space="preserve"> </w:t>
      </w:r>
      <w:r w:rsidRPr="007C0C96">
        <w:rPr>
          <w:rFonts w:ascii="Times New Roman" w:hAnsi="Times New Roman" w:cs="Times New Roman"/>
          <w:sz w:val="28"/>
          <w:szCs w:val="28"/>
        </w:rPr>
        <w:t xml:space="preserve">указывают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C0C96">
        <w:rPr>
          <w:rFonts w:ascii="Times New Roman" w:hAnsi="Times New Roman" w:cs="Times New Roman"/>
          <w:sz w:val="28"/>
          <w:szCs w:val="28"/>
        </w:rPr>
        <w:t xml:space="preserve">высокий уровень концентрации товарного рынка и свидетельствуют о неравномерности присутствия на данном рынке хозяйствующих субъектов, действующих в качестве продавцов, или о </w:t>
      </w:r>
      <w:proofErr w:type="spellStart"/>
      <w:r w:rsidRPr="007C0C96">
        <w:rPr>
          <w:rFonts w:ascii="Times New Roman" w:hAnsi="Times New Roman" w:cs="Times New Roman"/>
          <w:sz w:val="28"/>
          <w:szCs w:val="28"/>
        </w:rPr>
        <w:t>разномасштабности</w:t>
      </w:r>
      <w:proofErr w:type="spellEnd"/>
      <w:r w:rsidRPr="007C0C96">
        <w:rPr>
          <w:rFonts w:ascii="Times New Roman" w:hAnsi="Times New Roman" w:cs="Times New Roman"/>
          <w:sz w:val="28"/>
          <w:szCs w:val="28"/>
        </w:rPr>
        <w:t xml:space="preserve"> их деятельности. </w:t>
      </w:r>
    </w:p>
    <w:p w:rsidR="002D3364" w:rsidRPr="007C0C96" w:rsidRDefault="002D3364" w:rsidP="002D3364">
      <w:pPr>
        <w:pStyle w:val="a3"/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C96">
        <w:rPr>
          <w:rFonts w:ascii="Times New Roman" w:hAnsi="Times New Roman" w:cs="Times New Roman"/>
          <w:sz w:val="28"/>
          <w:szCs w:val="28"/>
        </w:rPr>
        <w:t>Орловская область состоит из 24 административных районов. При этом, на ее территории функционирует 2</w:t>
      </w:r>
      <w:r w:rsidR="000C4A76">
        <w:rPr>
          <w:rFonts w:ascii="Times New Roman" w:hAnsi="Times New Roman" w:cs="Times New Roman"/>
          <w:sz w:val="28"/>
          <w:szCs w:val="28"/>
        </w:rPr>
        <w:t>1</w:t>
      </w:r>
      <w:r w:rsidRPr="007C0C96">
        <w:rPr>
          <w:rFonts w:ascii="Times New Roman" w:hAnsi="Times New Roman" w:cs="Times New Roman"/>
          <w:sz w:val="28"/>
          <w:szCs w:val="28"/>
        </w:rPr>
        <w:t xml:space="preserve"> локальны</w:t>
      </w:r>
      <w:r w:rsidR="000C4A76">
        <w:rPr>
          <w:rFonts w:ascii="Times New Roman" w:hAnsi="Times New Roman" w:cs="Times New Roman"/>
          <w:sz w:val="28"/>
          <w:szCs w:val="28"/>
        </w:rPr>
        <w:t>й</w:t>
      </w:r>
      <w:r w:rsidRPr="007C0C96">
        <w:rPr>
          <w:rFonts w:ascii="Times New Roman" w:hAnsi="Times New Roman" w:cs="Times New Roman"/>
          <w:sz w:val="28"/>
          <w:szCs w:val="28"/>
        </w:rPr>
        <w:t xml:space="preserve"> рын</w:t>
      </w:r>
      <w:r w:rsidR="000C4A76">
        <w:rPr>
          <w:rFonts w:ascii="Times New Roman" w:hAnsi="Times New Roman" w:cs="Times New Roman"/>
          <w:sz w:val="28"/>
          <w:szCs w:val="28"/>
        </w:rPr>
        <w:t>о</w:t>
      </w:r>
      <w:r w:rsidRPr="007C0C96">
        <w:rPr>
          <w:rFonts w:ascii="Times New Roman" w:hAnsi="Times New Roman" w:cs="Times New Roman"/>
          <w:sz w:val="28"/>
          <w:szCs w:val="28"/>
        </w:rPr>
        <w:t xml:space="preserve">к розничной реализации нефтепродуктов. Это объясняется тем, что в отдельных случаях несколько административных районов,  при определении возможности (целесообразности) приобретения потребителями </w:t>
      </w:r>
      <w:r w:rsidR="00FF2D6E">
        <w:rPr>
          <w:rFonts w:ascii="Times New Roman" w:hAnsi="Times New Roman" w:cs="Times New Roman"/>
          <w:sz w:val="28"/>
          <w:szCs w:val="28"/>
        </w:rPr>
        <w:t>дизельного топлива</w:t>
      </w:r>
      <w:r w:rsidRPr="007C0C96">
        <w:rPr>
          <w:rFonts w:ascii="Times New Roman" w:hAnsi="Times New Roman" w:cs="Times New Roman"/>
          <w:sz w:val="28"/>
          <w:szCs w:val="28"/>
        </w:rPr>
        <w:t xml:space="preserve"> без дополнительных затрат, были объединены в  один локальный рынок нефтепродуктов. </w:t>
      </w:r>
    </w:p>
    <w:p w:rsidR="002D3364" w:rsidRDefault="002D3364" w:rsidP="002D336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основании проведенного анализа установлено, что локальные рынки розничной реализации </w:t>
      </w:r>
      <w:r w:rsidR="00FF2D6E">
        <w:rPr>
          <w:rFonts w:ascii="Times New Roman" w:hAnsi="Times New Roman" w:cs="Times New Roman"/>
          <w:sz w:val="28"/>
          <w:szCs w:val="28"/>
        </w:rPr>
        <w:t>дизельного топлива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в большей части относятся к рынкам с недостаточно развитой или неразвитой конкуренцией:</w:t>
      </w:r>
    </w:p>
    <w:p w:rsidR="00E04A3A" w:rsidRPr="00343D04" w:rsidRDefault="00E04A3A" w:rsidP="00E04A3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43D04">
        <w:rPr>
          <w:rFonts w:ascii="Times New Roman" w:hAnsi="Times New Roman" w:cs="Times New Roman"/>
          <w:sz w:val="28"/>
          <w:szCs w:val="28"/>
        </w:rPr>
        <w:t xml:space="preserve"> локальных рынков </w:t>
      </w:r>
      <w:r>
        <w:rPr>
          <w:rFonts w:ascii="Times New Roman" w:hAnsi="Times New Roman" w:cs="Times New Roman"/>
          <w:sz w:val="28"/>
          <w:szCs w:val="28"/>
        </w:rPr>
        <w:t>дизельного топлива</w:t>
      </w:r>
      <w:r w:rsidRPr="00343D04">
        <w:rPr>
          <w:rFonts w:ascii="Times New Roman" w:hAnsi="Times New Roman" w:cs="Times New Roman"/>
          <w:sz w:val="28"/>
          <w:szCs w:val="28"/>
        </w:rPr>
        <w:t xml:space="preserve"> относятся к рынкам с отсутствием конкуренции: монопольный уровень концентрации, наличие всего одного участника с признаками абсолютного доминирования (100%).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43D0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3D04">
        <w:rPr>
          <w:rFonts w:ascii="Times New Roman" w:hAnsi="Times New Roman" w:cs="Times New Roman"/>
          <w:sz w:val="28"/>
          <w:szCs w:val="28"/>
        </w:rPr>
        <w:t xml:space="preserve"> из них доминирование принадлежит независимым участникам рынка.</w:t>
      </w:r>
    </w:p>
    <w:p w:rsidR="00E04A3A" w:rsidRPr="00340B3F" w:rsidRDefault="00E04A3A" w:rsidP="00E04A3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B3F">
        <w:rPr>
          <w:rFonts w:ascii="Times New Roman" w:hAnsi="Times New Roman" w:cs="Times New Roman"/>
          <w:sz w:val="28"/>
          <w:szCs w:val="28"/>
        </w:rPr>
        <w:t xml:space="preserve">- 9 локальных рынков розничной реализации </w:t>
      </w:r>
      <w:r>
        <w:rPr>
          <w:rFonts w:ascii="Times New Roman" w:hAnsi="Times New Roman" w:cs="Times New Roman"/>
          <w:sz w:val="28"/>
          <w:szCs w:val="28"/>
        </w:rPr>
        <w:t>дизельного топлива</w:t>
      </w:r>
      <w:r w:rsidRPr="00340B3F">
        <w:rPr>
          <w:rFonts w:ascii="Times New Roman" w:hAnsi="Times New Roman" w:cs="Times New Roman"/>
          <w:sz w:val="28"/>
          <w:szCs w:val="28"/>
        </w:rPr>
        <w:t xml:space="preserve"> следует отнести к рынкам с недостаточно развитой конкуренцией. Они характеризуются высоким уровнем концентрации, на них присутствует в основном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40B3F">
        <w:rPr>
          <w:rFonts w:ascii="Times New Roman" w:hAnsi="Times New Roman" w:cs="Times New Roman"/>
          <w:sz w:val="28"/>
          <w:szCs w:val="28"/>
        </w:rPr>
        <w:t>2 до 6 хозяйствующих субъектов, при этом один из них с признаками индивидуального доминирования (рыночная доля более 50%).</w:t>
      </w:r>
    </w:p>
    <w:p w:rsidR="00E04A3A" w:rsidRPr="00343D04" w:rsidRDefault="00E04A3A" w:rsidP="00E04A3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D04">
        <w:rPr>
          <w:rFonts w:ascii="Times New Roman" w:hAnsi="Times New Roman" w:cs="Times New Roman"/>
          <w:sz w:val="28"/>
          <w:szCs w:val="28"/>
        </w:rPr>
        <w:t>- на 1 локальном рынке (Орловский район, включая г. Орел) число участников значительно превышает количество участников на остальных локальных рынках - 1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3D04">
        <w:rPr>
          <w:rFonts w:ascii="Times New Roman" w:hAnsi="Times New Roman" w:cs="Times New Roman"/>
          <w:sz w:val="28"/>
          <w:szCs w:val="28"/>
        </w:rPr>
        <w:t xml:space="preserve"> продавцов и нет доминирующих хозяйствующих субъектов.</w:t>
      </w:r>
    </w:p>
    <w:p w:rsidR="00E04A3A" w:rsidRPr="00340B3F" w:rsidRDefault="00E04A3A" w:rsidP="00E04A3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B3F">
        <w:rPr>
          <w:rFonts w:ascii="Times New Roman" w:hAnsi="Times New Roman" w:cs="Times New Roman"/>
          <w:sz w:val="28"/>
          <w:szCs w:val="28"/>
        </w:rPr>
        <w:t xml:space="preserve">На 16 из 21 установленных локальных рынках розничной реализации автомобильных бензинов присутствует хозяйствующий субъект, входящий в группу лиц ВИНК Роснефть 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0B3F">
        <w:rPr>
          <w:rFonts w:ascii="Times New Roman" w:hAnsi="Times New Roman" w:cs="Times New Roman"/>
          <w:sz w:val="28"/>
          <w:szCs w:val="28"/>
        </w:rPr>
        <w:t xml:space="preserve">О «Орелнефтепродукт».  </w:t>
      </w:r>
    </w:p>
    <w:p w:rsidR="00D831D3" w:rsidRDefault="0057713E" w:rsidP="002D3364">
      <w:pPr>
        <w:pStyle w:val="2"/>
        <w:tabs>
          <w:tab w:val="left" w:pos="567"/>
        </w:tabs>
        <w:spacing w:line="276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2D3364">
        <w:rPr>
          <w:b w:val="0"/>
          <w:sz w:val="28"/>
          <w:szCs w:val="28"/>
        </w:rPr>
        <w:t xml:space="preserve">. </w:t>
      </w:r>
      <w:r w:rsidR="002D3364" w:rsidRPr="00C56EFF">
        <w:rPr>
          <w:b w:val="0"/>
          <w:sz w:val="28"/>
          <w:szCs w:val="28"/>
        </w:rPr>
        <w:t xml:space="preserve">С точки зрения достаточности количества и удобства местонахождения АЗС на территории региона розничный рынок </w:t>
      </w:r>
      <w:r w:rsidR="002B2CFD">
        <w:rPr>
          <w:b w:val="0"/>
          <w:sz w:val="28"/>
          <w:szCs w:val="28"/>
        </w:rPr>
        <w:t>дизельного топлива</w:t>
      </w:r>
      <w:r w:rsidR="002D3364" w:rsidRPr="00C56EFF">
        <w:rPr>
          <w:b w:val="0"/>
          <w:sz w:val="28"/>
          <w:szCs w:val="28"/>
        </w:rPr>
        <w:t xml:space="preserve"> Орловской области в целом отвечает запросам потребителей. </w:t>
      </w:r>
      <w:bookmarkStart w:id="0" w:name="_GoBack"/>
      <w:bookmarkEnd w:id="0"/>
    </w:p>
    <w:p w:rsidR="001A7933" w:rsidRDefault="001A7933" w:rsidP="0054655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7933" w:rsidRPr="0077694A" w:rsidRDefault="001A7933" w:rsidP="0054655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A7933" w:rsidRPr="0077694A" w:rsidSect="001A7933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19" w:rsidRDefault="00EF6A19" w:rsidP="00635930">
      <w:pPr>
        <w:spacing w:after="0" w:line="240" w:lineRule="auto"/>
      </w:pPr>
      <w:r>
        <w:separator/>
      </w:r>
    </w:p>
  </w:endnote>
  <w:endnote w:type="continuationSeparator" w:id="0">
    <w:p w:rsidR="00EF6A19" w:rsidRDefault="00EF6A19" w:rsidP="0063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6002"/>
    </w:sdtPr>
    <w:sdtEndPr/>
    <w:sdtContent>
      <w:p w:rsidR="00F20D83" w:rsidRDefault="00555D0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7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0D83" w:rsidRDefault="00F20D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19" w:rsidRDefault="00EF6A19" w:rsidP="00635930">
      <w:pPr>
        <w:spacing w:after="0" w:line="240" w:lineRule="auto"/>
      </w:pPr>
      <w:r>
        <w:separator/>
      </w:r>
    </w:p>
  </w:footnote>
  <w:footnote w:type="continuationSeparator" w:id="0">
    <w:p w:rsidR="00EF6A19" w:rsidRDefault="00EF6A19" w:rsidP="00635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893"/>
    <w:multiLevelType w:val="multilevel"/>
    <w:tmpl w:val="7DBAE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882CE1"/>
    <w:multiLevelType w:val="hybridMultilevel"/>
    <w:tmpl w:val="A91052F6"/>
    <w:lvl w:ilvl="0" w:tplc="0EECE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91C28"/>
    <w:multiLevelType w:val="hybridMultilevel"/>
    <w:tmpl w:val="7DA25586"/>
    <w:lvl w:ilvl="0" w:tplc="39AA8B46">
      <w:start w:val="20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592F5E"/>
    <w:multiLevelType w:val="multilevel"/>
    <w:tmpl w:val="B886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C0124C3"/>
    <w:multiLevelType w:val="hybridMultilevel"/>
    <w:tmpl w:val="F1C231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E214E"/>
    <w:multiLevelType w:val="hybridMultilevel"/>
    <w:tmpl w:val="686430C2"/>
    <w:lvl w:ilvl="0" w:tplc="BF9C3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9A2583"/>
    <w:multiLevelType w:val="hybridMultilevel"/>
    <w:tmpl w:val="9DC04B38"/>
    <w:lvl w:ilvl="0" w:tplc="E5AC7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34709"/>
    <w:multiLevelType w:val="hybridMultilevel"/>
    <w:tmpl w:val="E2B6F3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50EB9"/>
    <w:multiLevelType w:val="hybridMultilevel"/>
    <w:tmpl w:val="10BA1B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D4785"/>
    <w:multiLevelType w:val="hybridMultilevel"/>
    <w:tmpl w:val="0CAA489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2D56EB"/>
    <w:multiLevelType w:val="hybridMultilevel"/>
    <w:tmpl w:val="8564BC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E53"/>
    <w:rsid w:val="00012E7B"/>
    <w:rsid w:val="0001702C"/>
    <w:rsid w:val="00046114"/>
    <w:rsid w:val="00062DB6"/>
    <w:rsid w:val="0006476F"/>
    <w:rsid w:val="00070969"/>
    <w:rsid w:val="000C4A76"/>
    <w:rsid w:val="000E62A5"/>
    <w:rsid w:val="001036CE"/>
    <w:rsid w:val="00112923"/>
    <w:rsid w:val="00114C5A"/>
    <w:rsid w:val="001209C9"/>
    <w:rsid w:val="00126DA2"/>
    <w:rsid w:val="00134D09"/>
    <w:rsid w:val="00156BA6"/>
    <w:rsid w:val="00165FE1"/>
    <w:rsid w:val="001A7933"/>
    <w:rsid w:val="001B216A"/>
    <w:rsid w:val="001D0FE3"/>
    <w:rsid w:val="001D103A"/>
    <w:rsid w:val="001D3B0C"/>
    <w:rsid w:val="001E1D0D"/>
    <w:rsid w:val="0020210C"/>
    <w:rsid w:val="00203126"/>
    <w:rsid w:val="0020505B"/>
    <w:rsid w:val="00222C20"/>
    <w:rsid w:val="00256CD8"/>
    <w:rsid w:val="00262B38"/>
    <w:rsid w:val="0027514B"/>
    <w:rsid w:val="00281180"/>
    <w:rsid w:val="002A3420"/>
    <w:rsid w:val="002A4717"/>
    <w:rsid w:val="002B2CFD"/>
    <w:rsid w:val="002C683E"/>
    <w:rsid w:val="002D3364"/>
    <w:rsid w:val="002E1BA4"/>
    <w:rsid w:val="002E44B7"/>
    <w:rsid w:val="002F05FB"/>
    <w:rsid w:val="00303575"/>
    <w:rsid w:val="00305077"/>
    <w:rsid w:val="00314A2D"/>
    <w:rsid w:val="003236CC"/>
    <w:rsid w:val="00327171"/>
    <w:rsid w:val="00330158"/>
    <w:rsid w:val="00354228"/>
    <w:rsid w:val="00371A2E"/>
    <w:rsid w:val="00374243"/>
    <w:rsid w:val="00385160"/>
    <w:rsid w:val="003C4493"/>
    <w:rsid w:val="003D366C"/>
    <w:rsid w:val="003E59C8"/>
    <w:rsid w:val="003F477F"/>
    <w:rsid w:val="003F643E"/>
    <w:rsid w:val="00421618"/>
    <w:rsid w:val="0043676A"/>
    <w:rsid w:val="00450B40"/>
    <w:rsid w:val="00473440"/>
    <w:rsid w:val="004877D8"/>
    <w:rsid w:val="00490380"/>
    <w:rsid w:val="00490766"/>
    <w:rsid w:val="00494C28"/>
    <w:rsid w:val="004D7120"/>
    <w:rsid w:val="004E23F2"/>
    <w:rsid w:val="004E24D1"/>
    <w:rsid w:val="004F0D32"/>
    <w:rsid w:val="004F0EB8"/>
    <w:rsid w:val="004F7890"/>
    <w:rsid w:val="00501CF3"/>
    <w:rsid w:val="00503676"/>
    <w:rsid w:val="005052C4"/>
    <w:rsid w:val="00505411"/>
    <w:rsid w:val="00526C0A"/>
    <w:rsid w:val="005272D3"/>
    <w:rsid w:val="00541760"/>
    <w:rsid w:val="0054655A"/>
    <w:rsid w:val="00552086"/>
    <w:rsid w:val="005529A1"/>
    <w:rsid w:val="00555D0A"/>
    <w:rsid w:val="00561708"/>
    <w:rsid w:val="0057294F"/>
    <w:rsid w:val="0057713E"/>
    <w:rsid w:val="00591388"/>
    <w:rsid w:val="00596469"/>
    <w:rsid w:val="005A204F"/>
    <w:rsid w:val="005C4729"/>
    <w:rsid w:val="005E445D"/>
    <w:rsid w:val="00614C15"/>
    <w:rsid w:val="006334BE"/>
    <w:rsid w:val="00635930"/>
    <w:rsid w:val="006467B2"/>
    <w:rsid w:val="006479F1"/>
    <w:rsid w:val="00653E10"/>
    <w:rsid w:val="006956BA"/>
    <w:rsid w:val="006A4D6A"/>
    <w:rsid w:val="006A784B"/>
    <w:rsid w:val="006B1020"/>
    <w:rsid w:val="006E3C62"/>
    <w:rsid w:val="006F2F42"/>
    <w:rsid w:val="007142C4"/>
    <w:rsid w:val="00716ADB"/>
    <w:rsid w:val="00720CCA"/>
    <w:rsid w:val="00733816"/>
    <w:rsid w:val="00735424"/>
    <w:rsid w:val="00741E4D"/>
    <w:rsid w:val="0074487D"/>
    <w:rsid w:val="00752FA5"/>
    <w:rsid w:val="00773EE2"/>
    <w:rsid w:val="0077694A"/>
    <w:rsid w:val="00791B97"/>
    <w:rsid w:val="00797FC7"/>
    <w:rsid w:val="007A04AB"/>
    <w:rsid w:val="007A5805"/>
    <w:rsid w:val="007A6C05"/>
    <w:rsid w:val="007C0766"/>
    <w:rsid w:val="007D2FDD"/>
    <w:rsid w:val="007D31E3"/>
    <w:rsid w:val="007E1490"/>
    <w:rsid w:val="007E25F7"/>
    <w:rsid w:val="00823C9B"/>
    <w:rsid w:val="00850487"/>
    <w:rsid w:val="00862262"/>
    <w:rsid w:val="00897B61"/>
    <w:rsid w:val="008A3681"/>
    <w:rsid w:val="008B6B68"/>
    <w:rsid w:val="008C39DF"/>
    <w:rsid w:val="008E37CD"/>
    <w:rsid w:val="008E5802"/>
    <w:rsid w:val="008F1653"/>
    <w:rsid w:val="009238BE"/>
    <w:rsid w:val="00923F8F"/>
    <w:rsid w:val="00931D4B"/>
    <w:rsid w:val="00942D44"/>
    <w:rsid w:val="00967A64"/>
    <w:rsid w:val="00983E33"/>
    <w:rsid w:val="009A0E84"/>
    <w:rsid w:val="009A1DA1"/>
    <w:rsid w:val="009A75F8"/>
    <w:rsid w:val="009B0CF3"/>
    <w:rsid w:val="009B3B09"/>
    <w:rsid w:val="009B4D86"/>
    <w:rsid w:val="009C0A52"/>
    <w:rsid w:val="009C4494"/>
    <w:rsid w:val="009D72EF"/>
    <w:rsid w:val="00A05535"/>
    <w:rsid w:val="00A1183F"/>
    <w:rsid w:val="00A237AA"/>
    <w:rsid w:val="00A3101A"/>
    <w:rsid w:val="00A31BEA"/>
    <w:rsid w:val="00A46232"/>
    <w:rsid w:val="00A51521"/>
    <w:rsid w:val="00A5417B"/>
    <w:rsid w:val="00A66D46"/>
    <w:rsid w:val="00A71268"/>
    <w:rsid w:val="00A740BE"/>
    <w:rsid w:val="00A91A09"/>
    <w:rsid w:val="00A92D21"/>
    <w:rsid w:val="00AA2D4F"/>
    <w:rsid w:val="00AB3A0F"/>
    <w:rsid w:val="00AC129F"/>
    <w:rsid w:val="00AF4C7B"/>
    <w:rsid w:val="00B01351"/>
    <w:rsid w:val="00B1475F"/>
    <w:rsid w:val="00B22B15"/>
    <w:rsid w:val="00B2686A"/>
    <w:rsid w:val="00B405FB"/>
    <w:rsid w:val="00B673B0"/>
    <w:rsid w:val="00B76F62"/>
    <w:rsid w:val="00B847FB"/>
    <w:rsid w:val="00BC5AC6"/>
    <w:rsid w:val="00BE718C"/>
    <w:rsid w:val="00C0596A"/>
    <w:rsid w:val="00C262FB"/>
    <w:rsid w:val="00C325E7"/>
    <w:rsid w:val="00C54633"/>
    <w:rsid w:val="00C70919"/>
    <w:rsid w:val="00C80425"/>
    <w:rsid w:val="00C813A8"/>
    <w:rsid w:val="00C877BE"/>
    <w:rsid w:val="00C9275E"/>
    <w:rsid w:val="00CE789A"/>
    <w:rsid w:val="00D07027"/>
    <w:rsid w:val="00D22755"/>
    <w:rsid w:val="00D40CD0"/>
    <w:rsid w:val="00D76C66"/>
    <w:rsid w:val="00D82E0F"/>
    <w:rsid w:val="00D831D3"/>
    <w:rsid w:val="00D86594"/>
    <w:rsid w:val="00D90430"/>
    <w:rsid w:val="00DA2D48"/>
    <w:rsid w:val="00DE1175"/>
    <w:rsid w:val="00DF581A"/>
    <w:rsid w:val="00DF7A2A"/>
    <w:rsid w:val="00E04A3A"/>
    <w:rsid w:val="00E06D44"/>
    <w:rsid w:val="00E343A2"/>
    <w:rsid w:val="00E41ACC"/>
    <w:rsid w:val="00E54ED8"/>
    <w:rsid w:val="00E57CD3"/>
    <w:rsid w:val="00EE507D"/>
    <w:rsid w:val="00EE5E53"/>
    <w:rsid w:val="00EF6A19"/>
    <w:rsid w:val="00F0462C"/>
    <w:rsid w:val="00F144EC"/>
    <w:rsid w:val="00F20D83"/>
    <w:rsid w:val="00F3002A"/>
    <w:rsid w:val="00F60B84"/>
    <w:rsid w:val="00F646F9"/>
    <w:rsid w:val="00F71228"/>
    <w:rsid w:val="00F728D4"/>
    <w:rsid w:val="00FA1167"/>
    <w:rsid w:val="00FB5297"/>
    <w:rsid w:val="00FF2D6E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53"/>
    <w:pPr>
      <w:ind w:left="720"/>
      <w:contextualSpacing/>
    </w:pPr>
  </w:style>
  <w:style w:type="table" w:styleId="a4">
    <w:name w:val="Table Grid"/>
    <w:basedOn w:val="a1"/>
    <w:uiPriority w:val="59"/>
    <w:rsid w:val="00330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752F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52FA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63593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3593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35930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1A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7933"/>
  </w:style>
  <w:style w:type="paragraph" w:styleId="aa">
    <w:name w:val="footer"/>
    <w:basedOn w:val="a"/>
    <w:link w:val="ab"/>
    <w:uiPriority w:val="99"/>
    <w:unhideWhenUsed/>
    <w:rsid w:val="001A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7933"/>
  </w:style>
  <w:style w:type="paragraph" w:styleId="ac">
    <w:name w:val="Balloon Text"/>
    <w:basedOn w:val="a"/>
    <w:link w:val="ad"/>
    <w:uiPriority w:val="99"/>
    <w:semiHidden/>
    <w:unhideWhenUsed/>
    <w:rsid w:val="002D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3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D8C5-876E-44DB-9193-CEFD76DF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1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Орловское УФАС России</Company>
  <LinksUpToDate>false</LinksUpToDate>
  <CharactersWithSpaces>21612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</dc:creator>
  <cp:keywords/>
  <dc:description/>
  <cp:lastModifiedBy>Володько И.Н.</cp:lastModifiedBy>
  <cp:revision>35</cp:revision>
  <cp:lastPrinted>2017-07-31T06:24:00Z</cp:lastPrinted>
  <dcterms:created xsi:type="dcterms:W3CDTF">2013-05-28T10:22:00Z</dcterms:created>
  <dcterms:modified xsi:type="dcterms:W3CDTF">2018-03-01T09:20:00Z</dcterms:modified>
</cp:coreProperties>
</file>