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6B" w:rsidRDefault="006C136B" w:rsidP="006C136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</w:t>
      </w:r>
    </w:p>
    <w:p w:rsidR="006C136B" w:rsidRDefault="006C136B" w:rsidP="006C136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ДЕЛА № </w:t>
      </w:r>
      <w:r>
        <w:rPr>
          <w:b/>
          <w:color w:val="000000"/>
          <w:sz w:val="28"/>
          <w:szCs w:val="28"/>
        </w:rPr>
        <w:t>263</w:t>
      </w:r>
      <w:r>
        <w:rPr>
          <w:b/>
          <w:sz w:val="28"/>
          <w:szCs w:val="28"/>
        </w:rPr>
        <w:t>-13/02</w:t>
      </w:r>
      <w:proofErr w:type="gramStart"/>
      <w:r>
        <w:rPr>
          <w:b/>
          <w:sz w:val="28"/>
          <w:szCs w:val="28"/>
        </w:rPr>
        <w:t xml:space="preserve"> Т</w:t>
      </w:r>
      <w:proofErr w:type="gramEnd"/>
      <w:r>
        <w:rPr>
          <w:b/>
          <w:sz w:val="28"/>
          <w:szCs w:val="28"/>
        </w:rPr>
        <w:t xml:space="preserve">   О НАРУШЕНИИ</w:t>
      </w:r>
    </w:p>
    <w:p w:rsidR="006C136B" w:rsidRDefault="006C136B" w:rsidP="006C136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АНТИМОНОПОЛЬНОГО ЗАКОНОДАТЕЛЬСТВА </w:t>
      </w:r>
    </w:p>
    <w:p w:rsidR="006C136B" w:rsidRDefault="006C136B" w:rsidP="006C136B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К РАССМОТРЕНИЮ</w:t>
      </w:r>
    </w:p>
    <w:p w:rsidR="006C136B" w:rsidRDefault="006C136B" w:rsidP="006C136B">
      <w:pPr>
        <w:rPr>
          <w:sz w:val="28"/>
          <w:szCs w:val="28"/>
        </w:rPr>
      </w:pPr>
    </w:p>
    <w:p w:rsidR="006C136B" w:rsidRPr="006C136B" w:rsidRDefault="006C136B" w:rsidP="006C136B">
      <w:pPr>
        <w:rPr>
          <w:rFonts w:ascii="Times New Roman" w:hAnsi="Times New Roman" w:cs="Times New Roman"/>
          <w:sz w:val="28"/>
          <w:szCs w:val="28"/>
        </w:rPr>
      </w:pPr>
      <w:r w:rsidRPr="006C136B">
        <w:rPr>
          <w:rFonts w:ascii="Times New Roman" w:hAnsi="Times New Roman" w:cs="Times New Roman"/>
          <w:sz w:val="28"/>
          <w:szCs w:val="28"/>
        </w:rPr>
        <w:t xml:space="preserve">18 сентября  2013 года  </w:t>
      </w:r>
      <w:r w:rsidRPr="006C136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6C136B">
        <w:rPr>
          <w:rFonts w:ascii="Times New Roman" w:hAnsi="Times New Roman" w:cs="Times New Roman"/>
          <w:sz w:val="28"/>
          <w:szCs w:val="28"/>
        </w:rPr>
        <w:tab/>
      </w:r>
      <w:r w:rsidRPr="006C136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gramStart"/>
      <w:r w:rsidRPr="006C13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136B">
        <w:rPr>
          <w:rFonts w:ascii="Times New Roman" w:hAnsi="Times New Roman" w:cs="Times New Roman"/>
          <w:sz w:val="28"/>
          <w:szCs w:val="28"/>
        </w:rPr>
        <w:t>. Орел</w:t>
      </w:r>
    </w:p>
    <w:p w:rsidR="006C136B" w:rsidRDefault="006C136B" w:rsidP="006C136B">
      <w:pPr>
        <w:pStyle w:val="a6"/>
        <w:spacing w:after="200"/>
        <w:rPr>
          <w:szCs w:val="28"/>
        </w:rPr>
      </w:pPr>
      <w:r>
        <w:rPr>
          <w:szCs w:val="28"/>
        </w:rPr>
        <w:tab/>
        <w:t xml:space="preserve">Председатель Комиссии Орловского УФАС России по рассмотрению дела о нарушении антимонопольного законодательства на основании приказа Орловского УФАС России от 17.09.2013 г. № </w:t>
      </w:r>
      <w:r>
        <w:rPr>
          <w:color w:val="000000"/>
          <w:szCs w:val="28"/>
        </w:rPr>
        <w:t>426</w:t>
      </w:r>
      <w:r>
        <w:rPr>
          <w:szCs w:val="28"/>
        </w:rPr>
        <w:t xml:space="preserve"> о возбуждении дела и о создании Комиссии по рассмотрению дела о нарушении антимонопольного законодательства</w:t>
      </w:r>
    </w:p>
    <w:p w:rsidR="006C136B" w:rsidRDefault="006C136B" w:rsidP="006C136B">
      <w:pPr>
        <w:pStyle w:val="a6"/>
        <w:spacing w:after="200"/>
        <w:rPr>
          <w:szCs w:val="28"/>
        </w:rPr>
      </w:pPr>
      <w:proofErr w:type="gramStart"/>
      <w:r>
        <w:rPr>
          <w:szCs w:val="28"/>
        </w:rPr>
        <w:t>по признакам нарушения ЗАО «Паллада торг» пункта 1 части 1 статьи 13 Федерального Закона от 28.12.2009 № 381-ФЗ «Об основах государственного регулирования торговой деятельности в Российской Федерации», выразившегося в бездействии ЗАО «Паллада торг» в части необоснованного уклонения от рассмотрения по существу коммерческого предложения ООО «ТД Алтайская крупа», чем последнему созданы дискриминационные условия входа на рынок оптовой реализации бакалейной продукции (крупы, макаронные</w:t>
      </w:r>
      <w:proofErr w:type="gramEnd"/>
      <w:r>
        <w:rPr>
          <w:szCs w:val="28"/>
        </w:rPr>
        <w:t xml:space="preserve"> изделия, мука, хлопья) для дальнейшей реализации через торговую сеть «Росинка»</w:t>
      </w:r>
    </w:p>
    <w:p w:rsidR="006C136B" w:rsidRDefault="006C136B" w:rsidP="006C136B">
      <w:pPr>
        <w:pStyle w:val="a6"/>
        <w:spacing w:after="200"/>
        <w:rPr>
          <w:szCs w:val="28"/>
        </w:rPr>
      </w:pPr>
      <w:r>
        <w:rPr>
          <w:szCs w:val="28"/>
        </w:rPr>
        <w:t xml:space="preserve">и руководствуясь частью 13 статьи 44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 xml:space="preserve">. № 135-ФЗ «О защите конкуренции», </w:t>
      </w:r>
    </w:p>
    <w:p w:rsidR="006C136B" w:rsidRDefault="006C136B" w:rsidP="006C136B">
      <w:pPr>
        <w:pStyle w:val="a6"/>
        <w:spacing w:after="200"/>
        <w:rPr>
          <w:b/>
          <w:szCs w:val="28"/>
        </w:rPr>
      </w:pPr>
      <w:r>
        <w:rPr>
          <w:b/>
          <w:szCs w:val="28"/>
        </w:rPr>
        <w:t>ОПРЕДЕЛИЛ:</w:t>
      </w:r>
    </w:p>
    <w:p w:rsidR="006C136B" w:rsidRDefault="006C136B" w:rsidP="006C136B">
      <w:pPr>
        <w:pStyle w:val="ConsNormal"/>
        <w:widowControl/>
        <w:numPr>
          <w:ilvl w:val="0"/>
          <w:numId w:val="1"/>
        </w:numPr>
        <w:tabs>
          <w:tab w:val="left" w:pos="9700"/>
        </w:tabs>
        <w:spacing w:after="200"/>
        <w:ind w:left="0" w:right="4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дело № </w:t>
      </w:r>
      <w:r>
        <w:rPr>
          <w:rFonts w:ascii="Times New Roman" w:hAnsi="Times New Roman" w:cs="Times New Roman"/>
          <w:color w:val="000000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-13/02 Т к рассмотрению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17 октября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2013 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11.00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адресу: г. Орёл, ул. Салтыкова-Щедрина, д. 21, 3-й этаж, кабинет 4.</w:t>
      </w:r>
    </w:p>
    <w:p w:rsidR="006C136B" w:rsidRDefault="006C136B" w:rsidP="006C136B">
      <w:pPr>
        <w:pStyle w:val="ConsNormal"/>
        <w:widowControl/>
        <w:numPr>
          <w:ilvl w:val="0"/>
          <w:numId w:val="1"/>
        </w:numPr>
        <w:tabs>
          <w:tab w:val="left" w:pos="0"/>
        </w:tabs>
        <w:spacing w:after="200"/>
        <w:ind w:left="0" w:right="4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Привлечь к участию в рассмотрении дела в качестве ответчика ЗАО «Паллада торг» (398032, г. Липецк, Универсальный проезд, д.11/302005, г. Орел, ул. Черепичная, д.22)</w:t>
      </w:r>
      <w:proofErr w:type="gramEnd"/>
    </w:p>
    <w:p w:rsidR="006C136B" w:rsidRDefault="006C136B" w:rsidP="006C136B">
      <w:pPr>
        <w:pStyle w:val="ConsNormal"/>
        <w:widowControl/>
        <w:numPr>
          <w:ilvl w:val="0"/>
          <w:numId w:val="1"/>
        </w:numPr>
        <w:tabs>
          <w:tab w:val="left" w:pos="0"/>
        </w:tabs>
        <w:spacing w:after="200"/>
        <w:ind w:left="0" w:right="4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участию в рассмотрении дела в качестве заявителя ООО «ТД Алтайская крупа» (659311, Алтайский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Бийск, ул. Трофимова, д.7)</w:t>
      </w:r>
    </w:p>
    <w:p w:rsidR="006C136B" w:rsidRDefault="006C136B" w:rsidP="006C136B">
      <w:pPr>
        <w:pStyle w:val="ConsNormal"/>
        <w:widowControl/>
        <w:numPr>
          <w:ilvl w:val="0"/>
          <w:numId w:val="1"/>
        </w:numPr>
        <w:tabs>
          <w:tab w:val="left" w:pos="0"/>
          <w:tab w:val="left" w:pos="9700"/>
        </w:tabs>
        <w:ind w:left="0" w:right="3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ЗАО «Паллада торг» представить в срок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до 10 октября 2013 года </w:t>
      </w:r>
      <w:r>
        <w:rPr>
          <w:rFonts w:ascii="Times New Roman" w:hAnsi="Times New Roman" w:cs="Times New Roman"/>
          <w:sz w:val="28"/>
          <w:szCs w:val="28"/>
        </w:rPr>
        <w:t>следующие документы и материалы:</w:t>
      </w:r>
    </w:p>
    <w:p w:rsidR="006C136B" w:rsidRDefault="006C136B" w:rsidP="006C136B">
      <w:pPr>
        <w:pStyle w:val="ConsNormal"/>
        <w:widowControl/>
        <w:tabs>
          <w:tab w:val="left" w:pos="9700"/>
        </w:tabs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Копии действующих учредительных документов (устав, учредительный договор и т.п.), свидетельств о регистрации и постановке на учет в налоговом органе.</w:t>
      </w:r>
    </w:p>
    <w:p w:rsidR="006C136B" w:rsidRDefault="006C136B" w:rsidP="006C136B">
      <w:pPr>
        <w:pStyle w:val="ConsNormal"/>
        <w:widowControl/>
        <w:tabs>
          <w:tab w:val="left" w:pos="9700"/>
        </w:tabs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Сведения о проводимых в 2013 году тендерах по отбору поставщиков продовольственных товаров по товарной группе – крупа, макаронные изделия, мука, хлопья и их результатах.</w:t>
      </w:r>
    </w:p>
    <w:p w:rsidR="006C136B" w:rsidRDefault="006C136B" w:rsidP="006C136B">
      <w:pPr>
        <w:pStyle w:val="ConsNormal"/>
        <w:widowControl/>
        <w:tabs>
          <w:tab w:val="left" w:pos="9700"/>
        </w:tabs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Копии обращений/писем/предложений с приложениями (в том числе в электронной форме) производителей и поставщиков товаров по указанной группе, по вопросам заключения договоров поставки, а также копии ответов ЗАО «Паллада торг» на указанные обращения/письма/предложения в 2013 году.</w:t>
      </w:r>
    </w:p>
    <w:p w:rsidR="006C136B" w:rsidRDefault="006C136B" w:rsidP="006C136B">
      <w:pPr>
        <w:pStyle w:val="ConsNormal"/>
        <w:widowControl/>
        <w:tabs>
          <w:tab w:val="left" w:pos="9700"/>
        </w:tabs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Перечень хозяйствующих субъектов, осуществляющих поставку крупы, макаронных изделий, муки, хлопьев в 2012-2013 гг. (раздельно по каждому году и по видам продукции).</w:t>
      </w:r>
    </w:p>
    <w:p w:rsidR="006C136B" w:rsidRDefault="006C136B" w:rsidP="006C136B">
      <w:pPr>
        <w:pStyle w:val="ConsNormal"/>
        <w:widowControl/>
        <w:tabs>
          <w:tab w:val="left" w:pos="9700"/>
        </w:tabs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Существующий в ЗАО «Паллада торг» утвержденный порядок отбора поставщиков продовольственных товаров.</w:t>
      </w:r>
    </w:p>
    <w:p w:rsidR="006C136B" w:rsidRDefault="006C136B" w:rsidP="006C136B">
      <w:pPr>
        <w:pStyle w:val="ConsNormal"/>
        <w:widowControl/>
        <w:tabs>
          <w:tab w:val="left" w:pos="9700"/>
        </w:tabs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Сведения о вводе в эксплуатацию (приобретение, аренда) новых торговых площадей в 2013 году, с указанием места расположения.</w:t>
      </w:r>
    </w:p>
    <w:p w:rsidR="006C136B" w:rsidRDefault="006C136B" w:rsidP="006C136B">
      <w:pPr>
        <w:pStyle w:val="ConsNormal"/>
        <w:widowControl/>
        <w:tabs>
          <w:tab w:val="left" w:pos="9700"/>
        </w:tabs>
        <w:spacing w:after="200"/>
        <w:ind w:right="4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Письменные объяснения причин, по которым ЗАО «Паллада торг» не направило ответ на поступившее в его адрес в июле 2013 года коммерческое предложение ООО «ТД Алтайская крупа».</w:t>
      </w:r>
    </w:p>
    <w:p w:rsidR="006C136B" w:rsidRDefault="006C136B" w:rsidP="006C136B">
      <w:pPr>
        <w:pStyle w:val="ConsNormal"/>
        <w:widowControl/>
        <w:tabs>
          <w:tab w:val="left" w:pos="9700"/>
        </w:tabs>
        <w:spacing w:after="200"/>
        <w:ind w:right="40"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октября 2013 года на обозрение Комиссии Орловского УФАС России представить подлинные документы, перечисленные в п.4.3 настоящего определения.</w:t>
      </w:r>
    </w:p>
    <w:p w:rsidR="006C136B" w:rsidRDefault="006C136B" w:rsidP="006C136B">
      <w:pPr>
        <w:pStyle w:val="ConsNormal"/>
        <w:widowControl/>
        <w:tabs>
          <w:tab w:val="left" w:pos="9700"/>
        </w:tabs>
        <w:ind w:right="38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представленные в Управление Федеральной антимонопольной службы по Орловской области документы и материалы должны быть прошиты, пронумерованы и заверены надлежащим образом.</w:t>
      </w:r>
    </w:p>
    <w:p w:rsidR="006C136B" w:rsidRDefault="006C136B" w:rsidP="006C136B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Явка ответчика и иных привлеченных к участию в деле лиц или их представителей (с доверенностью на участие в рассмотрении дела) обязательна.</w:t>
      </w:r>
    </w:p>
    <w:p w:rsidR="006C136B" w:rsidRDefault="006C136B" w:rsidP="006C136B">
      <w:pPr>
        <w:rPr>
          <w:sz w:val="28"/>
          <w:szCs w:val="28"/>
        </w:rPr>
      </w:pPr>
    </w:p>
    <w:p w:rsidR="006C136B" w:rsidRDefault="006C136B" w:rsidP="006C13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 материалами дела можно ознакомиться в Управлении Федеральной антимонопольной службы по Орловской области, контактный телефон (4862) 73-15-20.</w:t>
      </w:r>
    </w:p>
    <w:p w:rsidR="006C136B" w:rsidRDefault="006C136B" w:rsidP="006C136B">
      <w:pPr>
        <w:pStyle w:val="a4"/>
        <w:tabs>
          <w:tab w:val="left" w:pos="800"/>
        </w:tabs>
        <w:ind w:left="1200" w:right="-1062" w:firstLine="700"/>
        <w:rPr>
          <w:b/>
          <w:i/>
          <w:color w:val="FF0000"/>
          <w:sz w:val="28"/>
          <w:szCs w:val="28"/>
        </w:rPr>
      </w:pPr>
    </w:p>
    <w:p w:rsidR="006C136B" w:rsidRDefault="006C136B" w:rsidP="006C136B">
      <w:pPr>
        <w:pStyle w:val="a4"/>
        <w:tabs>
          <w:tab w:val="clear" w:pos="4677"/>
          <w:tab w:val="center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ab/>
        <w:t xml:space="preserve">   Л.Н. </w:t>
      </w:r>
      <w:proofErr w:type="spellStart"/>
      <w:r>
        <w:rPr>
          <w:color w:val="000000"/>
          <w:sz w:val="28"/>
          <w:szCs w:val="28"/>
        </w:rPr>
        <w:t>Бубенцова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Л.Н. </w:t>
      </w:r>
      <w:proofErr w:type="spellStart"/>
      <w:r>
        <w:rPr>
          <w:color w:val="000000"/>
          <w:sz w:val="28"/>
          <w:szCs w:val="28"/>
        </w:rPr>
        <w:t>Бубенцова</w:t>
      </w:r>
      <w:proofErr w:type="spellEnd"/>
    </w:p>
    <w:p w:rsidR="006C136B" w:rsidRDefault="006C136B" w:rsidP="006C136B">
      <w:pPr>
        <w:rPr>
          <w:sz w:val="28"/>
          <w:szCs w:val="28"/>
        </w:rPr>
      </w:pPr>
    </w:p>
    <w:p w:rsidR="00A63ABF" w:rsidRDefault="00A63ABF"/>
    <w:sectPr w:rsidR="00A6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EEB"/>
    <w:multiLevelType w:val="hybridMultilevel"/>
    <w:tmpl w:val="767603D6"/>
    <w:lvl w:ilvl="0" w:tplc="9FD4F4B8">
      <w:start w:val="1"/>
      <w:numFmt w:val="decimal"/>
      <w:lvlText w:val="%1."/>
      <w:lvlJc w:val="left"/>
      <w:pPr>
        <w:tabs>
          <w:tab w:val="num" w:pos="1550"/>
        </w:tabs>
        <w:ind w:left="1550" w:hanging="840"/>
      </w:pPr>
    </w:lvl>
    <w:lvl w:ilvl="1" w:tplc="EDDC993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EA6A4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CA52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E094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18D39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DE07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A08B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0AED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36B"/>
    <w:rsid w:val="006C136B"/>
    <w:rsid w:val="00A6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1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6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semiHidden/>
    <w:unhideWhenUsed/>
    <w:rsid w:val="006C1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C13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136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C13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C136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6C13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3083</Characters>
  <Application>Microsoft Office Word</Application>
  <DocSecurity>0</DocSecurity>
  <Lines>25</Lines>
  <Paragraphs>7</Paragraphs>
  <ScaleCrop>false</ScaleCrop>
  <Company>Орловское УФАС России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</dc:creator>
  <cp:keywords/>
  <dc:description/>
  <cp:lastModifiedBy>Володько</cp:lastModifiedBy>
  <cp:revision>3</cp:revision>
  <dcterms:created xsi:type="dcterms:W3CDTF">2013-09-18T10:34:00Z</dcterms:created>
  <dcterms:modified xsi:type="dcterms:W3CDTF">2013-09-18T10:36:00Z</dcterms:modified>
</cp:coreProperties>
</file>